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48b16a6eea9c44bf" Type="http://schemas.openxmlformats.org/officeDocument/2006/relationships/officeDocument" Target="/word/document.xml"/></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11113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BAKAR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1.865.209,71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2.044.491,53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1.840.645,86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2.155.536,52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111.044,99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15.521,95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15.425,96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126.470,95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ŠIFRA Y004 ukazuje na ukupni manjak prihoda u iznosu od 126.470,95 eura dok je u prethodnom izvještajnom razdoblju škola poslovala s viškom od 9.041,90 eura. Preneseni višak prihoda na ŠIFRI 9221-9222 iznosi 12.190,87 eura pa manjak prihoda za pokriti u slijedećem izvještajnom razdoblju iznosi 114.280,08 eura. Manjak prihoda se pretežno odnosi na metodološki manjak koji je nastao zbog načina evidentiranja prihoda i rashoda sukladno novom Pravilniku. Rashodi za plaće za prosinac 2025. godine evidentirani su u prosincu 2025. godine dok će se prihodi ostvariti u siječnju 2026. godine kao i svi ostali prihodi koji se odnose na rashode evidentirane u prosincu 2025. godine. Manjak rashoda za zaposlene za prosinac iznose 125.330,45 eura, potraživanja za rashode prijevoza učenika s teškoćama za prosinac iznose 39,70 eura, potraživanje za nabavu knjige „Herojski Vukovar“ 90,79 eura i potraživanja za prehranu učenika 5.792,15 eura. Pregled manjka i viška prema izvorima financiranja prikazan je u slijedećoj tablici. </w:t>
      </w:r>
    </w:p>
    <w:tbl>
      <w:tblPr>
        <w:tblStyle w:val="TableGrid"/>
        <w:tblW w:w="3734.525" w:type="pct"/>
      </w:tblPr>
      <w:tblGrid>
        <w:gridCol w:w="1596"/>
        <w:gridCol w:w="1365"/>
        <w:gridCol w:w="1414"/>
        <w:gridCol w:w="1592"/>
        <w:gridCol w:w="1555"/>
        <w:gridCol w:w="2102"/>
      </w:tblGrid>
      <w:tr>
        <w:trPr>
          <w:trHeight w:val="932" w:hRule="atLeast"/>
        </w:trPr>
        <w:tc>
          <w:tcPr>
            <w:tcW w:w="829" w:type="pct"/>
            <w:vAlign w:val="center"/>
          </w:tcPr>
          <w:p>
            <w:pPr>
              <w:keepNext/>
              <w:jc w:val="center"/>
            </w:pPr>
            <w:r>
              <w:t xml:space="preserve">IZVOR FINANCIRANJA</w:t>
            </w:r>
          </w:p>
        </w:tc>
        <w:tc>
          <w:tcPr>
            <w:tcW w:w="709" w:type="pct"/>
            <w:vAlign w:val="center"/>
          </w:tcPr>
          <w:p>
            <w:pPr>
              <w:keepNext/>
              <w:jc w:val="center"/>
            </w:pPr>
            <w:r>
              <w:t xml:space="preserve">PRIHOD</w:t>
            </w:r>
          </w:p>
        </w:tc>
        <w:tc>
          <w:tcPr>
            <w:tcW w:w="734" w:type="pct"/>
            <w:vAlign w:val="center"/>
          </w:tcPr>
          <w:p>
            <w:pPr>
              <w:keepNext/>
              <w:jc w:val="center"/>
            </w:pPr>
            <w:r>
              <w:t xml:space="preserve">RASHOD</w:t>
            </w:r>
          </w:p>
        </w:tc>
        <w:tc>
          <w:tcPr>
            <w:tcW w:w="827" w:type="pct"/>
            <w:vAlign w:val="center"/>
          </w:tcPr>
          <w:p>
            <w:pPr>
              <w:keepNext/>
              <w:jc w:val="center"/>
            </w:pPr>
            <w:r>
              <w:t xml:space="preserve">VIŠAK/MANJAK</w:t>
            </w:r>
          </w:p>
        </w:tc>
        <w:tc>
          <w:tcPr>
            <w:tcW w:w="807" w:type="pct"/>
            <w:vAlign w:val="center"/>
          </w:tcPr>
          <w:p>
            <w:pPr>
              <w:keepNext/>
              <w:jc w:val="center"/>
            </w:pPr>
            <w:r>
              <w:t xml:space="preserve">PRENESENI višak/manjak</w:t>
            </w:r>
          </w:p>
        </w:tc>
        <w:tc>
          <w:tcPr>
            <w:tcW w:w="1092" w:type="pct"/>
            <w:vAlign w:val="center"/>
          </w:tcPr>
          <w:p>
            <w:pPr>
              <w:keepNext/>
              <w:jc w:val="center"/>
            </w:pPr>
            <w:r>
              <w:t xml:space="preserve">Raspoloživi višak/manjak</w:t>
            </w:r>
          </w:p>
        </w:tc>
      </w:tr>
      <w:tr>
        <w:trPr>
          <w:trHeight w:val="576" w:hRule="atLeast"/>
        </w:trPr>
        <w:tc>
          <w:tcPr>
            <w:tcW w:w="829" w:type="pct"/>
            <w:vAlign w:val="center"/>
          </w:tcPr>
          <w:p>
            <w:pPr>
              <w:keepNext/>
              <w:jc w:val="center"/>
            </w:pPr>
            <w:r>
              <w:t xml:space="preserve">111</w:t>
            </w:r>
          </w:p>
        </w:tc>
        <w:tc>
          <w:tcPr>
            <w:tcW w:w="709" w:type="pct"/>
            <w:vAlign w:val="center"/>
          </w:tcPr>
          <w:p>
            <w:pPr>
              <w:keepNext/>
              <w:jc w:val="right"/>
            </w:pPr>
            <w:r>
              <w:t xml:space="preserve">10.413,08</w:t>
            </w:r>
          </w:p>
        </w:tc>
        <w:tc>
          <w:tcPr>
            <w:tcW w:w="734" w:type="pct"/>
            <w:vAlign w:val="center"/>
          </w:tcPr>
          <w:p>
            <w:pPr>
              <w:keepNext/>
              <w:jc w:val="right"/>
            </w:pPr>
            <w:r>
              <w:t xml:space="preserve">12.138,08</w:t>
            </w:r>
          </w:p>
        </w:tc>
        <w:tc>
          <w:tcPr>
            <w:tcW w:w="827" w:type="pct"/>
            <w:vAlign w:val="center"/>
          </w:tcPr>
          <w:p>
            <w:pPr>
              <w:keepNext/>
              <w:jc w:val="right"/>
            </w:pPr>
            <w:r>
              <w:t xml:space="preserve">-1.725,00</w:t>
            </w:r>
          </w:p>
        </w:tc>
        <w:tc>
          <w:tcPr>
            <w:tcW w:w="807" w:type="pct"/>
            <w:vAlign w:val="center"/>
          </w:tcPr>
          <w:p>
            <w:pPr>
              <w:keepNext/>
              <w:jc w:val="right"/>
            </w:pPr>
            <w:r>
              <w:t xml:space="preserve">0,00</w:t>
            </w:r>
          </w:p>
        </w:tc>
        <w:tc>
          <w:tcPr>
            <w:tcW w:w="1092" w:type="pct"/>
            <w:vAlign w:val="center"/>
          </w:tcPr>
          <w:p>
            <w:pPr>
              <w:keepNext/>
              <w:jc w:val="right"/>
            </w:pPr>
            <w:r>
              <w:t xml:space="preserve">-1.725,00</w:t>
            </w:r>
          </w:p>
        </w:tc>
      </w:tr>
      <w:tr>
        <w:trPr>
          <w:trHeight w:val="576" w:hRule="atLeast"/>
        </w:trPr>
        <w:tc>
          <w:tcPr>
            <w:tcW w:w="829" w:type="pct"/>
            <w:vAlign w:val="center"/>
          </w:tcPr>
          <w:p>
            <w:pPr>
              <w:keepNext/>
              <w:jc w:val="center"/>
            </w:pPr>
            <w:r>
              <w:t xml:space="preserve">4411</w:t>
            </w:r>
          </w:p>
        </w:tc>
        <w:tc>
          <w:tcPr>
            <w:tcW w:w="709" w:type="pct"/>
            <w:vAlign w:val="center"/>
          </w:tcPr>
          <w:p>
            <w:pPr>
              <w:keepNext/>
              <w:jc w:val="right"/>
            </w:pPr>
            <w:r>
              <w:t xml:space="preserve">131.485,29</w:t>
            </w:r>
          </w:p>
        </w:tc>
        <w:tc>
          <w:tcPr>
            <w:tcW w:w="734" w:type="pct"/>
            <w:vAlign w:val="center"/>
          </w:tcPr>
          <w:p>
            <w:pPr>
              <w:keepNext/>
              <w:jc w:val="right"/>
            </w:pPr>
            <w:r>
              <w:t xml:space="preserve">134.045,90</w:t>
            </w:r>
          </w:p>
        </w:tc>
        <w:tc>
          <w:tcPr>
            <w:tcW w:w="827" w:type="pct"/>
            <w:vAlign w:val="center"/>
          </w:tcPr>
          <w:p>
            <w:pPr>
              <w:keepNext/>
              <w:jc w:val="right"/>
            </w:pPr>
            <w:r>
              <w:t xml:space="preserve">-2.560,61</w:t>
            </w:r>
          </w:p>
        </w:tc>
        <w:tc>
          <w:tcPr>
            <w:tcW w:w="807" w:type="pct"/>
            <w:vAlign w:val="center"/>
          </w:tcPr>
          <w:p>
            <w:pPr>
              <w:keepNext/>
              <w:jc w:val="right"/>
            </w:pPr>
            <w:r>
              <w:t xml:space="preserve">0,00</w:t>
            </w:r>
          </w:p>
        </w:tc>
        <w:tc>
          <w:tcPr>
            <w:tcW w:w="1092" w:type="pct"/>
            <w:vAlign w:val="center"/>
          </w:tcPr>
          <w:p>
            <w:pPr>
              <w:keepNext/>
              <w:jc w:val="right"/>
            </w:pPr>
            <w:r>
              <w:t xml:space="preserve">-2.560,61</w:t>
            </w:r>
          </w:p>
        </w:tc>
      </w:tr>
      <w:tr>
        <w:trPr>
          <w:trHeight w:val="576" w:hRule="atLeast"/>
        </w:trPr>
        <w:tc>
          <w:tcPr>
            <w:tcW w:w="829" w:type="pct"/>
            <w:vAlign w:val="center"/>
          </w:tcPr>
          <w:p>
            <w:pPr>
              <w:keepNext/>
              <w:jc w:val="center"/>
            </w:pPr>
            <w:r>
              <w:t xml:space="preserve">515002</w:t>
            </w:r>
          </w:p>
        </w:tc>
        <w:tc>
          <w:tcPr>
            <w:tcW w:w="709" w:type="pct"/>
            <w:vAlign w:val="center"/>
          </w:tcPr>
          <w:p>
            <w:pPr>
              <w:keepNext/>
              <w:jc w:val="right"/>
            </w:pPr>
            <w:r>
              <w:t xml:space="preserve">9.236,30</w:t>
            </w:r>
          </w:p>
        </w:tc>
        <w:tc>
          <w:tcPr>
            <w:tcW w:w="734" w:type="pct"/>
            <w:vAlign w:val="center"/>
          </w:tcPr>
          <w:p>
            <w:pPr>
              <w:keepNext/>
              <w:jc w:val="right"/>
            </w:pPr>
            <w:r>
              <w:t xml:space="preserve">9.667,92</w:t>
            </w:r>
          </w:p>
        </w:tc>
        <w:tc>
          <w:tcPr>
            <w:tcW w:w="827" w:type="pct"/>
            <w:vAlign w:val="center"/>
          </w:tcPr>
          <w:p>
            <w:pPr>
              <w:keepNext/>
              <w:jc w:val="right"/>
            </w:pPr>
            <w:r>
              <w:t xml:space="preserve">-431,62</w:t>
            </w:r>
          </w:p>
        </w:tc>
        <w:tc>
          <w:tcPr>
            <w:tcW w:w="807" w:type="pct"/>
            <w:vAlign w:val="center"/>
          </w:tcPr>
          <w:p>
            <w:pPr>
              <w:keepNext/>
              <w:jc w:val="right"/>
            </w:pPr>
            <w:r>
              <w:t xml:space="preserve">0,00</w:t>
            </w:r>
          </w:p>
        </w:tc>
        <w:tc>
          <w:tcPr>
            <w:tcW w:w="1092" w:type="pct"/>
            <w:vAlign w:val="center"/>
          </w:tcPr>
          <w:p>
            <w:pPr>
              <w:keepNext/>
              <w:jc w:val="right"/>
            </w:pPr>
            <w:r>
              <w:t xml:space="preserve">-431,62</w:t>
            </w:r>
          </w:p>
        </w:tc>
      </w:tr>
      <w:tr>
        <w:trPr>
          <w:trHeight w:val="576" w:hRule="atLeast"/>
        </w:trPr>
        <w:tc>
          <w:tcPr>
            <w:tcW w:w="829" w:type="pct"/>
            <w:vAlign w:val="center"/>
          </w:tcPr>
          <w:p>
            <w:pPr>
              <w:keepNext/>
              <w:jc w:val="center"/>
            </w:pPr>
            <w:r>
              <w:t xml:space="preserve">321401</w:t>
            </w:r>
          </w:p>
        </w:tc>
        <w:tc>
          <w:tcPr>
            <w:tcW w:w="709" w:type="pct"/>
            <w:vAlign w:val="center"/>
          </w:tcPr>
          <w:p>
            <w:pPr>
              <w:keepNext/>
              <w:jc w:val="right"/>
            </w:pPr>
            <w:r>
              <w:t xml:space="preserve">2.616,43</w:t>
            </w:r>
          </w:p>
        </w:tc>
        <w:tc>
          <w:tcPr>
            <w:tcW w:w="734" w:type="pct"/>
            <w:vAlign w:val="center"/>
          </w:tcPr>
          <w:p>
            <w:pPr>
              <w:keepNext/>
              <w:jc w:val="right"/>
            </w:pPr>
            <w:r>
              <w:t xml:space="preserve">2.616,43</w:t>
            </w:r>
          </w:p>
        </w:tc>
        <w:tc>
          <w:tcPr>
            <w:tcW w:w="827" w:type="pct"/>
            <w:vAlign w:val="center"/>
          </w:tcPr>
          <w:p>
            <w:pPr>
              <w:keepNext/>
              <w:jc w:val="right"/>
            </w:pPr>
            <w:r>
              <w:t xml:space="preserve">0,00</w:t>
            </w:r>
          </w:p>
        </w:tc>
        <w:tc>
          <w:tcPr>
            <w:tcW w:w="807" w:type="pct"/>
            <w:vAlign w:val="center"/>
          </w:tcPr>
          <w:p>
            <w:pPr>
              <w:keepNext/>
              <w:jc w:val="right"/>
            </w:pPr>
            <w:r>
              <w:t xml:space="preserve">0,00</w:t>
            </w:r>
          </w:p>
        </w:tc>
        <w:tc>
          <w:tcPr>
            <w:tcW w:w="1092" w:type="pct"/>
            <w:vAlign w:val="center"/>
          </w:tcPr>
          <w:p>
            <w:pPr>
              <w:keepNext/>
              <w:jc w:val="right"/>
            </w:pPr>
            <w:r>
              <w:t xml:space="preserve">0,00</w:t>
            </w:r>
          </w:p>
        </w:tc>
      </w:tr>
      <w:tr>
        <w:trPr>
          <w:trHeight w:val="576" w:hRule="atLeast"/>
        </w:trPr>
        <w:tc>
          <w:tcPr>
            <w:tcW w:w="829" w:type="pct"/>
            <w:vAlign w:val="center"/>
          </w:tcPr>
          <w:p>
            <w:pPr>
              <w:keepNext/>
              <w:jc w:val="center"/>
            </w:pPr>
            <w:r>
              <w:t xml:space="preserve">431401</w:t>
            </w:r>
          </w:p>
        </w:tc>
        <w:tc>
          <w:tcPr>
            <w:tcW w:w="709" w:type="pct"/>
            <w:vAlign w:val="center"/>
          </w:tcPr>
          <w:p>
            <w:pPr>
              <w:keepNext/>
              <w:jc w:val="right"/>
            </w:pPr>
            <w:r>
              <w:t xml:space="preserve">89.434,57</w:t>
            </w:r>
          </w:p>
        </w:tc>
        <w:tc>
          <w:tcPr>
            <w:tcW w:w="734" w:type="pct"/>
            <w:vAlign w:val="center"/>
          </w:tcPr>
          <w:p>
            <w:pPr>
              <w:keepNext/>
              <w:jc w:val="right"/>
            </w:pPr>
            <w:r>
              <w:t xml:space="preserve">91.486,09</w:t>
            </w:r>
          </w:p>
        </w:tc>
        <w:tc>
          <w:tcPr>
            <w:tcW w:w="827" w:type="pct"/>
            <w:vAlign w:val="center"/>
          </w:tcPr>
          <w:p>
            <w:pPr>
              <w:keepNext/>
              <w:jc w:val="right"/>
            </w:pPr>
            <w:r>
              <w:t xml:space="preserve">-2.051,52</w:t>
            </w:r>
          </w:p>
        </w:tc>
        <w:tc>
          <w:tcPr>
            <w:tcW w:w="807" w:type="pct"/>
            <w:vAlign w:val="center"/>
          </w:tcPr>
          <w:p>
            <w:pPr>
              <w:keepNext/>
              <w:jc w:val="right"/>
            </w:pPr>
            <w:r>
              <w:t xml:space="preserve">0,00</w:t>
            </w:r>
          </w:p>
        </w:tc>
        <w:tc>
          <w:tcPr>
            <w:tcW w:w="1092" w:type="pct"/>
            <w:vAlign w:val="center"/>
          </w:tcPr>
          <w:p>
            <w:pPr>
              <w:keepNext/>
              <w:jc w:val="right"/>
            </w:pPr>
            <w:r>
              <w:t xml:space="preserve">-2.051,52</w:t>
            </w:r>
          </w:p>
        </w:tc>
      </w:tr>
      <w:tr>
        <w:trPr>
          <w:trHeight w:val="576" w:hRule="atLeast"/>
        </w:trPr>
        <w:tc>
          <w:tcPr>
            <w:tcW w:w="829" w:type="pct"/>
            <w:vAlign w:val="center"/>
          </w:tcPr>
          <w:p>
            <w:pPr>
              <w:keepNext/>
              <w:jc w:val="center"/>
            </w:pPr>
            <w:r>
              <w:t xml:space="preserve">521401</w:t>
            </w:r>
          </w:p>
        </w:tc>
        <w:tc>
          <w:tcPr>
            <w:tcW w:w="709" w:type="pct"/>
            <w:vAlign w:val="center"/>
          </w:tcPr>
          <w:p>
            <w:pPr>
              <w:keepNext/>
              <w:jc w:val="right"/>
            </w:pPr>
            <w:r>
              <w:t xml:space="preserve">1.785.168,93</w:t>
            </w:r>
          </w:p>
        </w:tc>
        <w:tc>
          <w:tcPr>
            <w:tcW w:w="734" w:type="pct"/>
            <w:vAlign w:val="center"/>
          </w:tcPr>
          <w:p>
            <w:pPr>
              <w:keepNext/>
              <w:jc w:val="right"/>
            </w:pPr>
            <w:r>
              <w:t xml:space="preserve">1.885.490,69</w:t>
            </w:r>
          </w:p>
        </w:tc>
        <w:tc>
          <w:tcPr>
            <w:tcW w:w="827" w:type="pct"/>
            <w:vAlign w:val="center"/>
          </w:tcPr>
          <w:p>
            <w:pPr>
              <w:keepNext/>
              <w:jc w:val="right"/>
            </w:pPr>
            <w:r>
              <w:t xml:space="preserve">-100.321,76</w:t>
            </w:r>
          </w:p>
        </w:tc>
        <w:tc>
          <w:tcPr>
            <w:tcW w:w="807" w:type="pct"/>
            <w:vAlign w:val="center"/>
          </w:tcPr>
          <w:p>
            <w:pPr>
              <w:keepNext/>
              <w:jc w:val="right"/>
            </w:pPr>
            <w:r>
              <w:t xml:space="preserve">0,00</w:t>
            </w:r>
          </w:p>
        </w:tc>
        <w:tc>
          <w:tcPr>
            <w:tcW w:w="1092" w:type="pct"/>
            <w:vAlign w:val="center"/>
          </w:tcPr>
          <w:p>
            <w:pPr>
              <w:keepNext/>
              <w:jc w:val="right"/>
            </w:pPr>
            <w:r>
              <w:t xml:space="preserve">-100.321,76</w:t>
            </w:r>
          </w:p>
        </w:tc>
      </w:tr>
      <w:tr>
        <w:trPr>
          <w:trHeight w:val="576" w:hRule="atLeast"/>
        </w:trPr>
        <w:tc>
          <w:tcPr>
            <w:tcW w:w="829" w:type="pct"/>
            <w:vAlign w:val="center"/>
          </w:tcPr>
          <w:p>
            <w:pPr>
              <w:keepNext/>
              <w:jc w:val="center"/>
            </w:pPr>
            <w:r>
              <w:t xml:space="preserve">525101</w:t>
            </w:r>
          </w:p>
        </w:tc>
        <w:tc>
          <w:tcPr>
            <w:tcW w:w="709" w:type="pct"/>
            <w:vAlign w:val="center"/>
          </w:tcPr>
          <w:p>
            <w:pPr>
              <w:keepNext/>
              <w:jc w:val="right"/>
            </w:pPr>
            <w:r>
              <w:t xml:space="preserve">15.473,20</w:t>
            </w:r>
          </w:p>
        </w:tc>
        <w:tc>
          <w:tcPr>
            <w:tcW w:w="734" w:type="pct"/>
            <w:vAlign w:val="center"/>
          </w:tcPr>
          <w:p>
            <w:pPr>
              <w:keepNext/>
              <w:jc w:val="right"/>
            </w:pPr>
            <w:r>
              <w:t xml:space="preserve">11.016,25</w:t>
            </w:r>
          </w:p>
        </w:tc>
        <w:tc>
          <w:tcPr>
            <w:tcW w:w="827" w:type="pct"/>
            <w:vAlign w:val="center"/>
          </w:tcPr>
          <w:p>
            <w:pPr>
              <w:keepNext/>
              <w:jc w:val="right"/>
            </w:pPr>
            <w:r>
              <w:t xml:space="preserve">4.456,95</w:t>
            </w:r>
          </w:p>
        </w:tc>
        <w:tc>
          <w:tcPr>
            <w:tcW w:w="807" w:type="pct"/>
            <w:vAlign w:val="center"/>
          </w:tcPr>
          <w:p>
            <w:pPr>
              <w:keepNext/>
              <w:jc w:val="right"/>
            </w:pPr>
            <w:r>
              <w:t xml:space="preserve">0,00</w:t>
            </w:r>
          </w:p>
        </w:tc>
        <w:tc>
          <w:tcPr>
            <w:tcW w:w="1092" w:type="pct"/>
            <w:vAlign w:val="center"/>
          </w:tcPr>
          <w:p>
            <w:pPr>
              <w:keepNext/>
              <w:jc w:val="right"/>
            </w:pPr>
            <w:r>
              <w:t xml:space="preserve">4.456,95</w:t>
            </w:r>
          </w:p>
        </w:tc>
      </w:tr>
      <w:tr>
        <w:trPr>
          <w:trHeight w:val="576" w:hRule="atLeast"/>
        </w:trPr>
        <w:tc>
          <w:tcPr>
            <w:tcW w:w="829" w:type="pct"/>
            <w:vAlign w:val="center"/>
          </w:tcPr>
          <w:p>
            <w:pPr>
              <w:keepNext/>
              <w:jc w:val="center"/>
            </w:pPr>
            <w:r>
              <w:t xml:space="preserve">731401</w:t>
            </w:r>
          </w:p>
        </w:tc>
        <w:tc>
          <w:tcPr>
            <w:tcW w:w="709" w:type="pct"/>
            <w:vAlign w:val="center"/>
          </w:tcPr>
          <w:p>
            <w:pPr>
              <w:keepNext/>
              <w:jc w:val="right"/>
            </w:pPr>
            <w:r>
              <w:t xml:space="preserve">663,73</w:t>
            </w:r>
          </w:p>
        </w:tc>
        <w:tc>
          <w:tcPr>
            <w:tcW w:w="734" w:type="pct"/>
            <w:vAlign w:val="center"/>
          </w:tcPr>
          <w:p>
            <w:pPr>
              <w:keepNext/>
              <w:jc w:val="right"/>
            </w:pPr>
            <w:r>
              <w:t xml:space="preserve">0,00</w:t>
            </w:r>
          </w:p>
        </w:tc>
        <w:tc>
          <w:tcPr>
            <w:tcW w:w="827" w:type="pct"/>
            <w:vAlign w:val="center"/>
          </w:tcPr>
          <w:p>
            <w:pPr>
              <w:keepNext/>
              <w:jc w:val="right"/>
            </w:pPr>
            <w:r>
              <w:t xml:space="preserve">663,73</w:t>
            </w:r>
          </w:p>
        </w:tc>
        <w:tc>
          <w:tcPr>
            <w:tcW w:w="807" w:type="pct"/>
            <w:vAlign w:val="center"/>
          </w:tcPr>
          <w:p>
            <w:pPr>
              <w:keepNext/>
              <w:jc w:val="right"/>
            </w:pPr>
            <w:r>
              <w:t xml:space="preserve">0,00</w:t>
            </w:r>
          </w:p>
        </w:tc>
        <w:tc>
          <w:tcPr>
            <w:tcW w:w="1092" w:type="pct"/>
            <w:vAlign w:val="center"/>
          </w:tcPr>
          <w:p>
            <w:pPr>
              <w:keepNext/>
              <w:jc w:val="right"/>
            </w:pPr>
            <w:r>
              <w:t xml:space="preserve">663,73</w:t>
            </w:r>
          </w:p>
        </w:tc>
      </w:tr>
      <w:tr>
        <w:trPr>
          <w:trHeight w:val="576" w:hRule="atLeast"/>
        </w:trPr>
        <w:tc>
          <w:tcPr>
            <w:tcW w:w="829" w:type="pct"/>
            <w:vAlign w:val="center"/>
          </w:tcPr>
          <w:p>
            <w:pPr>
              <w:keepNext/>
              <w:jc w:val="center"/>
            </w:pPr>
            <w:r>
              <w:t xml:space="preserve">483140</w:t>
            </w:r>
          </w:p>
        </w:tc>
        <w:tc>
          <w:tcPr>
            <w:tcW w:w="709" w:type="pct"/>
            <w:vAlign w:val="center"/>
          </w:tcPr>
          <w:p>
            <w:pPr>
              <w:keepNext/>
              <w:jc w:val="right"/>
            </w:pPr>
            <w:r>
              <w:t xml:space="preserve">0,00</w:t>
            </w:r>
          </w:p>
        </w:tc>
        <w:tc>
          <w:tcPr>
            <w:tcW w:w="734" w:type="pct"/>
            <w:vAlign w:val="center"/>
          </w:tcPr>
          <w:p>
            <w:pPr>
              <w:keepNext/>
              <w:jc w:val="right"/>
            </w:pPr>
            <w:r>
              <w:t xml:space="preserve">396,41</w:t>
            </w:r>
          </w:p>
        </w:tc>
        <w:tc>
          <w:tcPr>
            <w:tcW w:w="827" w:type="pct"/>
            <w:vAlign w:val="center"/>
          </w:tcPr>
          <w:p>
            <w:pPr>
              <w:keepNext/>
              <w:jc w:val="right"/>
            </w:pPr>
            <w:r>
              <w:t xml:space="preserve">-396,41</w:t>
            </w:r>
          </w:p>
        </w:tc>
        <w:tc>
          <w:tcPr>
            <w:tcW w:w="807" w:type="pct"/>
            <w:vAlign w:val="center"/>
          </w:tcPr>
          <w:p>
            <w:pPr>
              <w:keepNext/>
              <w:jc w:val="right"/>
            </w:pPr>
            <w:r>
              <w:t xml:space="preserve">2.256,94</w:t>
            </w:r>
          </w:p>
        </w:tc>
        <w:tc>
          <w:tcPr>
            <w:tcW w:w="1092" w:type="pct"/>
            <w:vAlign w:val="center"/>
          </w:tcPr>
          <w:p>
            <w:pPr>
              <w:keepNext/>
              <w:jc w:val="right"/>
            </w:pPr>
            <w:r>
              <w:t xml:space="preserve">1.860,53</w:t>
            </w:r>
          </w:p>
        </w:tc>
      </w:tr>
      <w:tr>
        <w:trPr>
          <w:trHeight w:val="576" w:hRule="atLeast"/>
        </w:trPr>
        <w:tc>
          <w:tcPr>
            <w:tcW w:w="829" w:type="pct"/>
            <w:vAlign w:val="center"/>
          </w:tcPr>
          <w:p>
            <w:pPr>
              <w:keepNext/>
              <w:jc w:val="center"/>
            </w:pPr>
            <w:r>
              <w:t xml:space="preserve">582140</w:t>
            </w:r>
          </w:p>
        </w:tc>
        <w:tc>
          <w:tcPr>
            <w:tcW w:w="709" w:type="pct"/>
            <w:vAlign w:val="center"/>
          </w:tcPr>
          <w:p>
            <w:pPr>
              <w:keepNext/>
              <w:jc w:val="right"/>
            </w:pPr>
            <w:r>
              <w:t xml:space="preserve">0,00</w:t>
            </w:r>
          </w:p>
        </w:tc>
        <w:tc>
          <w:tcPr>
            <w:tcW w:w="734" w:type="pct"/>
            <w:vAlign w:val="center"/>
          </w:tcPr>
          <w:p>
            <w:pPr>
              <w:keepNext/>
              <w:jc w:val="right"/>
            </w:pPr>
            <w:r>
              <w:t xml:space="preserve">17.259,65</w:t>
            </w:r>
          </w:p>
        </w:tc>
        <w:tc>
          <w:tcPr>
            <w:tcW w:w="827" w:type="pct"/>
            <w:vAlign w:val="center"/>
          </w:tcPr>
          <w:p>
            <w:pPr>
              <w:keepNext/>
              <w:jc w:val="right"/>
            </w:pPr>
            <w:r>
              <w:t xml:space="preserve">-17.259,65</w:t>
            </w:r>
          </w:p>
        </w:tc>
        <w:tc>
          <w:tcPr>
            <w:tcW w:w="807" w:type="pct"/>
            <w:vAlign w:val="center"/>
          </w:tcPr>
          <w:p>
            <w:pPr>
              <w:keepNext/>
              <w:jc w:val="right"/>
            </w:pPr>
            <w:r>
              <w:t xml:space="preserve">-3.324,71</w:t>
            </w:r>
          </w:p>
        </w:tc>
        <w:tc>
          <w:tcPr>
            <w:tcW w:w="1092" w:type="pct"/>
            <w:vAlign w:val="center"/>
          </w:tcPr>
          <w:p>
            <w:pPr>
              <w:keepNext/>
              <w:jc w:val="right"/>
            </w:pPr>
            <w:r>
              <w:t xml:space="preserve">-20.584,36</w:t>
            </w:r>
          </w:p>
        </w:tc>
      </w:tr>
      <w:tr>
        <w:trPr>
          <w:trHeight w:val="576" w:hRule="atLeast"/>
        </w:trPr>
        <w:tc>
          <w:tcPr>
            <w:tcW w:w="829" w:type="pct"/>
            <w:vAlign w:val="center"/>
          </w:tcPr>
          <w:p>
            <w:pPr>
              <w:keepNext/>
              <w:jc w:val="center"/>
            </w:pPr>
            <w:r>
              <w:t xml:space="preserve">585210</w:t>
            </w:r>
          </w:p>
        </w:tc>
        <w:tc>
          <w:tcPr>
            <w:tcW w:w="709" w:type="pct"/>
            <w:vAlign w:val="center"/>
          </w:tcPr>
          <w:p>
            <w:pPr>
              <w:keepNext/>
              <w:jc w:val="right"/>
            </w:pPr>
            <w:r>
              <w:t xml:space="preserve">0,00</w:t>
            </w:r>
          </w:p>
        </w:tc>
        <w:tc>
          <w:tcPr>
            <w:tcW w:w="734" w:type="pct"/>
            <w:vAlign w:val="center"/>
          </w:tcPr>
          <w:p>
            <w:pPr>
              <w:keepNext/>
              <w:jc w:val="right"/>
            </w:pPr>
            <w:r>
              <w:t xml:space="preserve">1.824,09</w:t>
            </w:r>
          </w:p>
        </w:tc>
        <w:tc>
          <w:tcPr>
            <w:tcW w:w="827" w:type="pct"/>
            <w:vAlign w:val="center"/>
          </w:tcPr>
          <w:p>
            <w:pPr>
              <w:keepNext/>
              <w:jc w:val="right"/>
            </w:pPr>
            <w:r>
              <w:t xml:space="preserve">-1.824,09</w:t>
            </w:r>
          </w:p>
        </w:tc>
        <w:tc>
          <w:tcPr>
            <w:tcW w:w="807" w:type="pct"/>
            <w:vAlign w:val="center"/>
          </w:tcPr>
          <w:p>
            <w:pPr>
              <w:keepNext/>
              <w:jc w:val="right"/>
            </w:pPr>
            <w:r>
              <w:t xml:space="preserve">7.007,46</w:t>
            </w:r>
          </w:p>
        </w:tc>
        <w:tc>
          <w:tcPr>
            <w:tcW w:w="1092" w:type="pct"/>
            <w:vAlign w:val="center"/>
          </w:tcPr>
          <w:p>
            <w:pPr>
              <w:keepNext/>
              <w:jc w:val="right"/>
            </w:pPr>
            <w:r>
              <w:t xml:space="preserve">5.183,37</w:t>
            </w:r>
          </w:p>
        </w:tc>
      </w:tr>
      <w:tr>
        <w:trPr>
          <w:trHeight w:val="576" w:hRule="atLeast"/>
        </w:trPr>
        <w:tc>
          <w:tcPr>
            <w:tcW w:w="829" w:type="pct"/>
            <w:vAlign w:val="center"/>
          </w:tcPr>
          <w:p>
            <w:pPr>
              <w:keepNext/>
              <w:jc w:val="center"/>
            </w:pPr>
            <w:r>
              <w:t xml:space="preserve">682140</w:t>
            </w:r>
          </w:p>
        </w:tc>
        <w:tc>
          <w:tcPr>
            <w:tcW w:w="709" w:type="pct"/>
            <w:vAlign w:val="center"/>
          </w:tcPr>
          <w:p>
            <w:pPr>
              <w:keepNext/>
              <w:jc w:val="right"/>
            </w:pPr>
            <w:r>
              <w:t xml:space="preserve">0,00</w:t>
            </w:r>
          </w:p>
        </w:tc>
        <w:tc>
          <w:tcPr>
            <w:tcW w:w="734" w:type="pct"/>
            <w:vAlign w:val="center"/>
          </w:tcPr>
          <w:p>
            <w:pPr>
              <w:keepNext/>
              <w:jc w:val="right"/>
            </w:pPr>
            <w:r>
              <w:t xml:space="preserve">5.020,97</w:t>
            </w:r>
          </w:p>
        </w:tc>
        <w:tc>
          <w:tcPr>
            <w:tcW w:w="827" w:type="pct"/>
            <w:vAlign w:val="center"/>
          </w:tcPr>
          <w:p>
            <w:pPr>
              <w:keepNext/>
              <w:jc w:val="right"/>
            </w:pPr>
            <w:r>
              <w:t xml:space="preserve">-5.020,97</w:t>
            </w:r>
          </w:p>
        </w:tc>
        <w:tc>
          <w:tcPr>
            <w:tcW w:w="807" w:type="pct"/>
            <w:vAlign w:val="center"/>
          </w:tcPr>
          <w:p>
            <w:pPr>
              <w:keepNext/>
              <w:jc w:val="right"/>
            </w:pPr>
            <w:r>
              <w:t xml:space="preserve">5.303,81</w:t>
            </w:r>
          </w:p>
        </w:tc>
        <w:tc>
          <w:tcPr>
            <w:tcW w:w="1092" w:type="pct"/>
            <w:vAlign w:val="center"/>
          </w:tcPr>
          <w:p>
            <w:pPr>
              <w:keepNext/>
              <w:jc w:val="right"/>
            </w:pPr>
            <w:r>
              <w:t xml:space="preserve">282,84</w:t>
            </w:r>
          </w:p>
        </w:tc>
      </w:tr>
      <w:tr>
        <w:trPr>
          <w:trHeight w:val="576" w:hRule="atLeast"/>
        </w:trPr>
        <w:tc>
          <w:tcPr>
            <w:tcW w:w="829" w:type="pct"/>
            <w:vAlign w:val="center"/>
          </w:tcPr>
          <w:p>
            <w:pPr>
              <w:keepNext/>
              <w:jc w:val="center"/>
            </w:pPr>
            <w:r>
              <w:t xml:space="preserve">782140</w:t>
            </w:r>
          </w:p>
        </w:tc>
        <w:tc>
          <w:tcPr>
            <w:tcW w:w="709" w:type="pct"/>
            <w:vAlign w:val="center"/>
          </w:tcPr>
          <w:p>
            <w:pPr>
              <w:keepNext/>
              <w:jc w:val="right"/>
            </w:pPr>
            <w:r>
              <w:t xml:space="preserve">0,00</w:t>
            </w:r>
          </w:p>
        </w:tc>
        <w:tc>
          <w:tcPr>
            <w:tcW w:w="734" w:type="pct"/>
            <w:vAlign w:val="center"/>
          </w:tcPr>
          <w:p>
            <w:pPr>
              <w:keepNext/>
              <w:jc w:val="right"/>
            </w:pPr>
            <w:r>
              <w:t xml:space="preserve">0,00</w:t>
            </w:r>
          </w:p>
        </w:tc>
        <w:tc>
          <w:tcPr>
            <w:tcW w:w="827" w:type="pct"/>
            <w:vAlign w:val="center"/>
          </w:tcPr>
          <w:p>
            <w:pPr>
              <w:keepNext/>
              <w:jc w:val="right"/>
            </w:pPr>
            <w:r>
              <w:t xml:space="preserve">0,00</w:t>
            </w:r>
          </w:p>
        </w:tc>
        <w:tc>
          <w:tcPr>
            <w:tcW w:w="807" w:type="pct"/>
            <w:vAlign w:val="center"/>
          </w:tcPr>
          <w:p>
            <w:pPr>
              <w:keepNext/>
              <w:jc w:val="right"/>
            </w:pPr>
            <w:r>
              <w:t xml:space="preserve">947,37</w:t>
            </w:r>
          </w:p>
        </w:tc>
        <w:tc>
          <w:tcPr>
            <w:tcW w:w="1092" w:type="pct"/>
            <w:vAlign w:val="center"/>
          </w:tcPr>
          <w:p>
            <w:pPr>
              <w:keepNext/>
              <w:jc w:val="right"/>
            </w:pPr>
            <w:r>
              <w:t xml:space="preserve">947,37</w:t>
            </w:r>
          </w:p>
        </w:tc>
      </w:tr>
      <w:tr>
        <w:trPr>
          <w:trHeight w:val="482" w:hRule="atLeast"/>
        </w:trPr>
        <w:tc>
          <w:tcPr>
            <w:tcW w:w="829" w:type="pct"/>
            <w:vAlign w:val="center"/>
          </w:tcPr>
          <w:p>
            <w:pPr>
              <w:keepNext/>
              <w:jc w:val="center"/>
            </w:pPr>
            <w:r>
              <w:t xml:space="preserve">UKUPNO</w:t>
            </w:r>
          </w:p>
        </w:tc>
        <w:tc>
          <w:tcPr>
            <w:tcW w:w="709" w:type="pct"/>
            <w:vAlign w:val="center"/>
          </w:tcPr>
          <w:p>
            <w:pPr>
              <w:keepNext/>
              <w:jc w:val="right"/>
            </w:pPr>
            <w:r>
              <w:t xml:space="preserve">2.044.491,53</w:t>
            </w:r>
          </w:p>
        </w:tc>
        <w:tc>
          <w:tcPr>
            <w:tcW w:w="734" w:type="pct"/>
            <w:vAlign w:val="center"/>
          </w:tcPr>
          <w:p>
            <w:pPr>
              <w:keepNext/>
              <w:jc w:val="right"/>
            </w:pPr>
            <w:r>
              <w:t xml:space="preserve">2.170.962,48</w:t>
            </w:r>
          </w:p>
        </w:tc>
        <w:tc>
          <w:tcPr>
            <w:tcW w:w="827" w:type="pct"/>
            <w:vAlign w:val="center"/>
          </w:tcPr>
          <w:p>
            <w:pPr>
              <w:keepNext/>
              <w:jc w:val="right"/>
            </w:pPr>
            <w:r>
              <w:t xml:space="preserve">-126.470,95</w:t>
            </w:r>
          </w:p>
        </w:tc>
        <w:tc>
          <w:tcPr>
            <w:tcW w:w="807" w:type="pct"/>
            <w:vAlign w:val="center"/>
          </w:tcPr>
          <w:p>
            <w:pPr>
              <w:keepNext/>
              <w:jc w:val="right"/>
            </w:pPr>
            <w:r>
              <w:t xml:space="preserve">12.190,87</w:t>
            </w:r>
          </w:p>
        </w:tc>
        <w:tc>
          <w:tcPr>
            <w:tcW w:w="1092" w:type="pct"/>
            <w:vAlign w:val="center"/>
          </w:tcPr>
          <w:p>
            <w:pPr>
              <w:keepNext/>
              <w:jc w:val="right"/>
            </w:pPr>
            <w:r>
              <w:t xml:space="preserve">-114.280,08</w:t>
            </w:r>
          </w:p>
        </w:tc>
      </w:tr>
    </w:tbl>
    <w:p>
      <w:pPr>
        <w:jc w:val="both"/>
      </w:pPr>
      <w:r>
        <w:t xml:space="preserve">Izvori 111, 4411 i 515002 obuhvaćaju prihode i rashode koje financira Primorsko-goranska Županija kao osnivač škole. Manjak prihoda je metodološki manjak zbog evidentiranja rashoda za prosinac 2025. godine dok će prihod se prihod evidentirati u siječnju 2026. godine.</w:t>
      </w:r>
    </w:p>
    <w:p>
      <w:pPr>
        <w:jc w:val="both"/>
      </w:pPr>
      <w:r>
        <w:t xml:space="preserve">Manjak na izvoru 431401 obuhvaća također metodološki manjak za obračunate rashode produženog boravka u prosincu 2025. godine dok će se prihodi evidentirati u 2026. godini po naplati izlaznih računa roditeljima za sufinanciranje programa.</w:t>
      </w:r>
    </w:p>
    <w:p>
      <w:pPr>
        <w:jc w:val="both"/>
      </w:pPr>
      <w:r>
        <w:t xml:space="preserve">Manjak na izvoru 521401 obuhvaća gore objašnjeni metodološki manjak za rashode za zaposlene koje financira nadležno Ministarstvo.</w:t>
      </w:r>
    </w:p>
    <w:p>
      <w:pPr>
        <w:jc w:val="both"/>
      </w:pPr>
      <w:r>
        <w:t xml:space="preserve">Izvori od 4831401 do 782140 obuhvaćaju rashode koji su financirani iz prenesenih sredstava viška prihoda iz 2024. godine. Izvor 5821401 također ima unutar izvora višak prihoda ovisno o aktivnostima iako je ukupno evidentiran manjak prihoda veći no preneseni manjak koji se pokriva viškom namjenskih prihoda iz 2026. godine na izvoru 521401.</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inozemnih vlada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Odnosi se na prihod za Erasmus+ projekt „Steam and Sport“ u kojem  je škola partner a koordinator je Sveučilište u Španjolskoj Navedeni prihod ostvaren je samo u tekućem izvještajnom razdoblju jer je započeo u 2025. godini i nastavlja se u 2026. godini kada je predviđen kraj projekta.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1.611.473,55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1.748.050,24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pPr>
        <w:jc w:val="both"/>
      </w:pPr>
      <w:r>
        <w:t xml:space="preserve">Obuhvaća prihode iz državnog proračuna (Ministarstvo znanosti, obrazovanja i mladih) koji se odnose na plaće, prijevoz učenika s teškoćama, financiranje radnih udžbenika, stručnih usavršavanja, prehrane učenika, menstrualnih i higijenskih potrepština za učenice škole, nabavu psihološko dijagnostičkih sredstava te potpore za darovite učenike. Također obuhvaća prihode iz lokalnog proračuna Grada Bakra namijenjene financiranju produženog boravka, podizanju pedagoškog standarda, investicijsko održavanje i sufinanciranje raznih školskih programa kao što je školsko sportsko društvo i obilježavanje obljetnica škola. U odnosu na prethodno razdoblje prihodi su povećani za 8,6% prvenstveno zbog povećanja rashoda za plaće kako iz državnog proračuna tako i iz lokalnog proračuna te financiranje udžbenika za 2024. godinu u veljači 2025. godine dok su prihodi za nabavu udžbenika za 2025. godinu ostvareni u tekućoj godini.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w:t>
            </w:r>
          </w:p>
        </w:tc>
      </w:tr>
    </w:tbl>
    <w:p>
      <w:pPr>
        <w:spacing w:before="0" w:after="0"/>
      </w:pPr>
    </w:p>
    <w:p>
      <w:pPr>
        <w:jc w:val="both"/>
      </w:pPr>
      <w:r>
        <w:t xml:space="preserve">Obuhvaća kapitalne pomoći MZOM-a za nabavu višegodišnjih udžbenika za sve učenike osnovnih škola i opremanje školskih knjižnica lektirnim naslovima kao i kapitalnim pomoćima Grada Bakra za nabavu opreme i investicijsko održavanje. Navedeni prihodi veći su za 42,2% u odnosu na prethodno razdoblje zbog manje ostvarenih kapitalnih pomoći iz državnog proračuna za nabavu udžbenika za 2024. godinu jer su navedeni prihodi ostvareni u 2025. godini kao i prihodi za nabavu udžbenika za 2025. godinu. U rujnu 2024. godine došlo je do promjene ravnatelja škole pa je zbog potrebnih ovlaštenja škola kasnije zatražila produženje roka za unos potrebnih podataka u sustav za nabavu udžbenika kako bi Ministarstvo izvršilo uplatu prihoda.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32.317,60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26.930,23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w:t>
            </w:r>
          </w:p>
        </w:tc>
      </w:tr>
    </w:tbl>
    <w:p>
      <w:pPr>
        <w:spacing w:before="0" w:after="0"/>
      </w:pPr>
    </w:p>
    <w:p>
      <w:pPr>
        <w:jc w:val="both"/>
      </w:pPr>
      <w:r>
        <w:t xml:space="preserve">Obuhvaća prihode za provođenje EU projekata Erasmus+ koji su manji u odnosu na prethodno razdoblje za 16,7%. U prethodnom izvještajnom razdoblju završen je jedan projekta za koji je izvršena završna isplata nakon predaje završnog izvješća. U tekućem izvještajnom razdoblju došlo je do promjene načina knjiženja prihoda temeljem novog pravilnika o računovodstvu kojim se prihodi evidentiraju po predanom završnom izvješću s obzirom da projekt traje tijekom dvogodišnjeg fiskalnog razdoblja.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w:t>
            </w:r>
          </w:p>
        </w:tc>
      </w:tr>
    </w:tbl>
    <w:p>
      <w:pPr>
        <w:spacing w:before="0" w:after="0"/>
      </w:pPr>
    </w:p>
    <w:p>
      <w:pPr>
        <w:jc w:val="both"/>
      </w:pPr>
      <w:r>
        <w:t xml:space="preserve">Obuhvaća pasivne kamate na žiro račun zbog sklapanja cash- pool ugovora s poslovnom bankom i Primorsko-goranskom Županijom. Prihodi su veći za 41,6% odnosno 6,07 eura u odnosu na prethodno razdoblje zbog neznatno većih priljeva novčanih sredstava na račun škole tijekom 2025. godine.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88.826,35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90.098,30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bl>
    <w:p>
      <w:pPr>
        <w:spacing w:before="0" w:after="0"/>
      </w:pPr>
    </w:p>
    <w:p>
      <w:pPr>
        <w:jc w:val="both"/>
      </w:pPr>
      <w:r>
        <w:t xml:space="preserve">Odnosi se na prihode od premija osiguranja, sufinanciranje troškova produženog boravka učenika kao i sufinanciranje troškova prijevoza i ulaznica za razne izvan-učioničke aktivnosti. U odnosu na prethodno razdoblje prihodi su veći za 1,4%.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w:t>
            </w:r>
          </w:p>
        </w:tc>
      </w:tr>
    </w:tbl>
    <w:p>
      <w:pPr>
        <w:spacing w:before="0" w:after="0"/>
      </w:pPr>
    </w:p>
    <w:p>
      <w:pPr>
        <w:jc w:val="both"/>
      </w:pPr>
      <w:r>
        <w:t xml:space="preserve">Odnosi se na prihode od zakupa sportske dvorane i najma školskog prostora za aparat za kavu. U izvještajnom razdoblju prihodi su povećani za 64,4% odnosno 1.107,10 eura. Škola ima jedan ugovor za najam školskog prostora za aparat za kavu od siječnja 2025. te dva ugovora za povremeni najam sportske dvorane od siječnja 2025. godine. Svi ugovori se prekidaju za vrijeme ljetnih školskih praznika a količina ostvarenih sati ovisi o potrebama klubova.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Odnosi se na tekuće donacije od pravnih osoba koje u tekućem izvještajnom razdoblju nisu ostvarene. Tijekom 2024. godine zahvaljujući dosadašnjoj uspješnoj suradnji zaprimljene su dvije donacije tvrtke INA d.d. za razne školske projekte te jedna donacija lokalne tvrtke u iznosu od 1.000,00 eura povodom obilježavanja 170 obljetnice PŠ Kukuljanovo.</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Obuhvaća kapitalne donacije koje u tekućem izvještajnom razdoblju nisu ostvarene. Donacije uključuju nabavu tri nova klima uređaja i tri televizije nekoliko privatnih tvrtki za područnu školu Kukuljanovo povodom njihove obljetnice škole.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109.146,50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151.134,67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w:t>
            </w:r>
          </w:p>
        </w:tc>
      </w:tr>
    </w:tbl>
    <w:p>
      <w:pPr>
        <w:spacing w:before="0" w:after="0"/>
      </w:pPr>
    </w:p>
    <w:p>
      <w:pPr>
        <w:jc w:val="both"/>
      </w:pPr>
      <w:r>
        <w:t xml:space="preserve">Obuhvaća sva sredstva dobivena iz proračuna Primorsko-goranske Županije za financiranje rashoda poslovanja. Prihodi su veći za 38,5% u odnosu na prethodno razdoblje ali u skladu s financijskim planom PGŽ-e. Krajem tekućeg izvještajnog razdoblja odobrena su sredstva za financiranje investicijskog za sanaciju fasade područne škole Krasica u iznosu od 38.414,08 eura. Osim financiranja redovnog poslovanja, PGŽ financira program pomoćnika u nastavi, program školskog kurikuluma, novi program „Županija pliva“ – škola plivanja za učenike drugih razreda. Od rujna 2025. godine u školi rade dva pomoćnika u nastavi za razliku od jednog pomoćnika u školskoj godini 2024./2025.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Obuhvaća sredstva dobivena iz proračuna Primorsko-goranske Županije za financiranje rashoda od nefinancijske imovine. Prihodi nisu ostvareni u tekućem izvještajnom razdoblju s obzirom da se iz sredstava decentralizacije rijetko financira nabava opreme. Tijekom prethodnog izvještajnog razdoblja financirana je nabava manje opreme za potrebe školskog kurikuluma. Svi rashodi u skladu su s financijskim planom.</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1.240.217,73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1.442.572,28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pPr>
        <w:jc w:val="both"/>
      </w:pPr>
      <w:r>
        <w:t xml:space="preserve">Rashodi za zaposlene u odnosu na prethodnu godinu veći su za 16,3% zbog više razloga a jedan je povećanje osnovice plaće od 01.02.2025. za 3% te ponovno od 01.10.2025. za dodatnih 3%. Drugi razlog je zbog primjene novog Pravilnika o računovodstvu u 2025. godini evidentirane su sve plaće od 12. mjeseca 2024. do 12. mjeseca 2025. godine i iznimno je knjiženo 13 plaća.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25.800,94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44.106,32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170,9</w:t>
            </w:r>
          </w:p>
        </w:tc>
      </w:tr>
    </w:tbl>
    <w:p>
      <w:pPr>
        <w:spacing w:before="0" w:after="0"/>
      </w:pPr>
    </w:p>
    <w:p>
      <w:pPr>
        <w:jc w:val="both"/>
      </w:pPr>
      <w:r>
        <w:t xml:space="preserve">Plaće za prekovremeni rad na ŠIFRI 3113 veće su za 70,9% no u prethodnom razdoblju. U izvještajnom razdoblju znatno su povećane zamjene učitelja u odnosu na prethodno razdoblje zbog nemogućnost pronalaska slobodnih učitelja na tržištu rada koje uz povećanje osnovice za obračun plaće i evidentiranje rashoda za 13. mjeseci dodatno povećavaju rashod za prekovremeni rad.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r>
        <w:t xml:space="preserve">Rashodi za posebne uvjete rada manji su za 4,5% zbog manjeg broja učenika s teškoćama uključenih u rad po posebnim uvjetima rada kao i broja sati rada u posebnim uvjetima.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57.460,46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50.908,74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w:t>
            </w:r>
          </w:p>
        </w:tc>
      </w:tr>
    </w:tbl>
    <w:p>
      <w:pPr>
        <w:spacing w:before="0" w:after="0"/>
      </w:pPr>
    </w:p>
    <w:p>
      <w:pPr>
        <w:jc w:val="both"/>
      </w:pPr>
      <w:r>
        <w:t xml:space="preserve">Obuhvaća ostale rashode za zaposlene koji su u odnosu na prethodno razdoblje manji za 11,4% zbog manje isplaćenih pomoći i jubilarnih nagrada u tekućem izvještajnom razdoblju. Osim navedenog, u prethodnom izvještajnom razdoblju isplaćene su i tri otpremnine za odlazak u mirovinu koje u 2025. godini nisu ostvarene.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mirovinsko osiguranje za staž s povećanim trajanjem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w:t>
            </w:r>
          </w:p>
        </w:tc>
      </w:tr>
    </w:tbl>
    <w:p>
      <w:pPr>
        <w:spacing w:before="0" w:after="0"/>
      </w:pPr>
    </w:p>
    <w:p>
      <w:pPr>
        <w:jc w:val="both"/>
      </w:pPr>
      <w:r>
        <w:t xml:space="preserve">ŠIFRA 3131 obuhvaća rashode za mirovinsko osiguranje za staž s povećanim trajanjem. Navedeni rashod se odnosi na beneficirani staž djelatnice no ulaskom djelatnice u Centralni obračun plaća, ustanovljeno je da se doprinos nije trebao uplaćivati jer njeno radno mjesto ne ulazi u navedenu obvezu te iz tog razloga smanjenje u odnosu na prethodno razdoblje.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210.021,02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246.379,64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pPr>
        <w:jc w:val="both"/>
      </w:pPr>
      <w:r>
        <w:t xml:space="preserve">ŠIFRA 3132 obuhvaća doprinose za obvezno zdravstveno osiguranje koji su veći za 17,3% u odnosu na prethodno razdoblje zbog povećanja plaća koje linearno prati i povećanje doprinosa uz evidentiranje 13. mjesečnog rashoda.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149,8</w:t>
            </w:r>
          </w:p>
        </w:tc>
      </w:tr>
    </w:tbl>
    <w:p>
      <w:pPr>
        <w:spacing w:before="0" w:after="0"/>
      </w:pPr>
    </w:p>
    <w:p>
      <w:pPr>
        <w:jc w:val="both"/>
      </w:pPr>
      <w:r>
        <w:t xml:space="preserve">ŠIFRA 3211 bilježi povećanje od 49,8% u odnosu na prethodno razdoblje zbog povećanja službenih putovanja djelatnika na stručna usavršavanja od kojih je i ravnatelj u prvom mandatu uz povećanje odlazaka učenika na izvan-učioničke aktivnosti u pratnji učitelja.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34.100,88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39.135,46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bl>
    <w:p>
      <w:pPr>
        <w:spacing w:before="0" w:after="0"/>
      </w:pPr>
    </w:p>
    <w:p>
      <w:pPr>
        <w:jc w:val="both"/>
      </w:pPr>
      <w:r>
        <w:t xml:space="preserve">ŠIFRA 3212 se odnosi na naknade za prijevoz djelatnika i veća je za 14,8% u odnosu na prethodno razdoblje zbog povećanja broja djelatnika koji ostvaruju pravo na naknadu za prijevoz po prijeđenom kilometru uz evidentiranje 13. mjesečnog rashoda.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ŠIFRA 3214 obuhvaća rashod naknade za lokalni prijevoz po prijeđenom kilometru. Navedeni rashod nije ostvaren u tekućem razdoblju uslijed odlaska ravnatelja u prethodnom izvještajnom razdoblju koji je jedini koristio navedeno pravo prilikom mjesečnog posjećivanja područnih škola za koje ne postoji organizirani lokalni prijevoz.</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pPr>
        <w:jc w:val="both"/>
      </w:pPr>
      <w:r>
        <w:t xml:space="preserve">ŠIFRA 3221 ukazuje na povećanje od 13% uslijed povećanja većine maloprodajnih cijena navedenih proizvoda tijekom 2025. godine kao i zbog veće potrebe za materijalom kojim se osigurava redovni uvjeti rada.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58.498,21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62.540,48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pPr>
        <w:jc w:val="both"/>
      </w:pPr>
      <w:r>
        <w:t xml:space="preserve">ŠIFRA 3222 rashodi su za namirnice koji su veći za 6,9% zbog povećanja broja korisnika školske prehrane uslijed financiranja od strane državnog proračuna kao i zbog povećanja maloprodajnih cijena uslijed povećanja cijena prehrambenih proizvoda na državnoj razini.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35.183,68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29.839,71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w:t>
            </w:r>
          </w:p>
        </w:tc>
      </w:tr>
    </w:tbl>
    <w:p>
      <w:pPr>
        <w:spacing w:before="0" w:after="0"/>
      </w:pPr>
    </w:p>
    <w:p>
      <w:pPr>
        <w:jc w:val="both"/>
      </w:pPr>
      <w:r>
        <w:t xml:space="preserve">ŠIFRA 3223 se odnosi na rashode za energiju koji su manji za 15,2% zbog kraćeg razdoblja sezone grijanja uslijed blage zime i viših temperatura zraka pa su potrebe za grijanjem tijekom tekućeg izvještajnog razdoblja bile manje.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w:t>
            </w:r>
          </w:p>
        </w:tc>
      </w:tr>
    </w:tbl>
    <w:p>
      <w:pPr>
        <w:spacing w:before="0" w:after="0"/>
      </w:pPr>
    </w:p>
    <w:p>
      <w:pPr>
        <w:jc w:val="both"/>
      </w:pPr>
      <w:r>
        <w:t xml:space="preserve">Pod ŠIFROM 3224 nalaze se rashodi za materijal za održavanje koji je smanjen za 21%. Škola ima zaposlenog jednog domara u odnosu na dvoje u prethodnom izvještajnom razdoblju a jedna osoba ne može održavati četiri stare zgrade koje zahtijevaju sve veće i veće potrebe za ulaganjem radi osiguravanja normalnih uvjeta rada.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w:t>
            </w:r>
          </w:p>
        </w:tc>
      </w:tr>
    </w:tbl>
    <w:p>
      <w:pPr>
        <w:spacing w:before="0" w:after="0"/>
      </w:pPr>
    </w:p>
    <w:p>
      <w:pPr>
        <w:jc w:val="both"/>
      </w:pPr>
      <w:r>
        <w:t xml:space="preserve">Tijekom 2025. godine rashodi za sitan inventar su bili znatno manji zbog smanjenih ulaganja u sitan inventar iz oba proračuna pa je ŠIFRA 3225 manja za 82,5% odnosno 1.099,48 eura.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bl>
    <w:p>
      <w:pPr>
        <w:spacing w:before="0" w:after="0"/>
      </w:pPr>
    </w:p>
    <w:p>
      <w:r>
        <w:t xml:space="preserve">ŠIFRA 3227 obuhvaća rashode za nabavu najosnovnije radne obuće koja je  tijekom 2025. godine povećana za 25,4% odnosno i obuhvaća nabavu četiri para obuće za spremačice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17.419,26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w:t>
            </w:r>
          </w:p>
        </w:tc>
      </w:tr>
    </w:tbl>
    <w:p>
      <w:pPr>
        <w:spacing w:before="0" w:after="0"/>
      </w:pPr>
    </w:p>
    <w:p>
      <w:pPr>
        <w:jc w:val="both"/>
      </w:pPr>
      <w:r>
        <w:t xml:space="preserve">ŠIFRA 3231 rashodi su za usluge telefona, pošte i prijevoza i veći su za 42,4% u odnosu na prethodno razdoblje. Prijevoz učenika obuhvaća prijevoz na izvan učioničke aktivnosti, izlete, posjete kinima i kazalištima i ostalim aktivnostima za koje je potreban organizirani prijevoz a količina navedenog prijevoza ovisi o planu i programu rada škole te varira tijekom godina.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52.907,68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739,6</w:t>
            </w:r>
          </w:p>
        </w:tc>
      </w:tr>
    </w:tbl>
    <w:p>
      <w:pPr>
        <w:spacing w:before="0" w:after="0"/>
      </w:pPr>
    </w:p>
    <w:p>
      <w:pPr>
        <w:jc w:val="both"/>
      </w:pPr>
      <w:r>
        <w:t xml:space="preserve">ŠIFRA 3232 obuhvaća usluge tekućeg i investicijskog održavanja koje je u odnosu na 2023. godinu veće za 639,6% odnosno 45.754,14 eura. Veći dio rashoda se odnosi na sanaciju dijela fasade područne škole Krasica u iznosu od 38.414,08 eura. Ostatak povećanja se odnosi na redovno održavanje opreme, izrada Plana sigurnosti te ostalih dokumenata potrebnih za osiguravanje nužnih uvjeta sukladno zaštiti na radu. Potrebe škole su velike zbog starosti zgrada u čije unutarnje uređenje se nije konkretnije ulagalo nekoliko godina.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ŠIFRA 3233 se odnosi na objavu natječaja za imenovanje ravnatelja škole dvije godine za redom a u tekućem izvještajnom razdoblju usluga je bila skuplja za 50,00 eura odnosno 6,4%.</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w:t>
            </w:r>
          </w:p>
        </w:tc>
      </w:tr>
    </w:tbl>
    <w:p>
      <w:pPr>
        <w:spacing w:before="0" w:after="0"/>
      </w:pPr>
    </w:p>
    <w:p>
      <w:pPr>
        <w:jc w:val="both"/>
      </w:pPr>
      <w:r>
        <w:t xml:space="preserve">Pod ŠIFROM 3236 nalaze se rashodi za sistematske preglede djelatnika. Uz redovne sistematske preglede djelatnika, navedeni rashod obuhvaća i sanitarne preglede kuharica te sve potrebne sanitarne kontrole sukladno važećim Zakonima i Pravilnicima. Sukladno TKU za javne službe, djelatnici imaju pravo na sistematski pregled svake dvije godine za mlađe od 50 godina starosti i svake dvije za starije od 50. godina.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342,7</w:t>
            </w:r>
          </w:p>
        </w:tc>
      </w:tr>
    </w:tbl>
    <w:p>
      <w:pPr>
        <w:spacing w:before="0" w:after="0"/>
      </w:pPr>
    </w:p>
    <w:p>
      <w:pPr>
        <w:jc w:val="both"/>
      </w:pPr>
      <w:r>
        <w:t xml:space="preserve">ŠIFRA 3237 Intelektualne i osobne usluge obuhvaćaju rashode za konzultantske usluge izrade i prijave Erasmus+ projekata, rashode za uslugu provedbe postupka javne nabave, uslugu obuke plivanja za učenike drugih razreda u sklopu programa „Županije pliva“ te rashode za rad na Erasmus+ projektu Steam and Sport kojih do sada nije bilo. Povećanje iznosi 242,7% odnosno 4.972,89 eura upravo zbog obračunavanja rada na projektu i manjih iznosa rashoda za obuku plivanja u odnosu na prethodnu godinu.</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pPr>
        <w:jc w:val="both"/>
      </w:pPr>
      <w:r>
        <w:t xml:space="preserve">ŠIFRA 3238 računalne usluge povećane su za 22,4% u odnosu na prethodno razdoblje zbog konstantnog povećanja cijena usluga održavanja postojećih računalnih programa tijekom 2025. godine.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w:t>
            </w:r>
          </w:p>
        </w:tc>
      </w:tr>
    </w:tbl>
    <w:p>
      <w:pPr>
        <w:spacing w:before="0" w:after="0"/>
      </w:pPr>
    </w:p>
    <w:p>
      <w:pPr>
        <w:jc w:val="both"/>
      </w:pPr>
      <w:r>
        <w:t xml:space="preserve">ŠIFRA 3299 Odnosi se na rashode nagrada izvrsnim učenicima, rashoda za provedbu Erasmus+ projekata i rashode povodom obilježavanja obljetnice PŠ Kukuljanovo ostvareni u prethodnom izvještajnom razdoblju. Rashodi su manji za 42,6% odnosno 638,43 eura jer se nije ostvaren rashod za obljetnicu škole a nagrade za učenike ovise o broju učenika koji su ostvarili izvrstan uspjeh</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w:t>
            </w:r>
          </w:p>
        </w:tc>
      </w:tr>
    </w:tbl>
    <w:p>
      <w:pPr>
        <w:spacing w:before="0" w:after="0"/>
      </w:pPr>
    </w:p>
    <w:p>
      <w:pPr>
        <w:jc w:val="both"/>
      </w:pPr>
      <w:r>
        <w:t xml:space="preserve">ŠIFRA 3722 Odnosi se na naknade kućanstvima za prijevoz učenika s teškoćama u razvoju koji posjeduju rješenje o posebnom obliku školovanja a njihov rashod ovisi o broju odlazaka na potrebne tretmane logopeda i socijalnog pedagoga. U navedeni rashod uključen je i rashod za nabavu radnih udžbenika za sve učenike osnovnih škola koji se financiraju iz državnog proračuna. U odnosu na prethodno razdoblje smanjeni su za 6,5% zbog manje potrebe za novim udžbenicima za učenike od prvog do četvrtog razreda kao i radnih udžbenika za učenike od petog do osmog razreda.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r>
    </w:tbl>
    <w:p>
      <w:pPr>
        <w:spacing w:before="0" w:after="0"/>
      </w:pPr>
    </w:p>
    <w:p>
      <w:pPr>
        <w:jc w:val="both"/>
      </w:pPr>
      <w:r>
        <w:t xml:space="preserve">ŠIFRA 3812 obuhvaća rashod za nabavu menstrualnih higijenskih potrepština za učenice osnovnih i srednjih škola u Republici Hrvatskoj. Rashod je financiran iz državnog proračuna prema ukupnom broju učenica škole koji varira tijekom godina.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111.044,99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Y001 ukazuje na manjak prihoda poslovanja u iznosu od 111.044,99 eura. Preneseni višak prihoda poslovanja pod ŠIFROM 92211 iznosi 11.243,50 eura i nije jednak raspoloživom višku prihoda za slijedeće razdoblje u prethodnom izvještajnom razdoblju zbog korekcije financijskog rezultata uslijed promjene načina evidentiranja prihoda za EU projekte. Dio viška prihoda koji se odnosi na EU projekte sukladno Pravilniku o računovodstvu prenesen je sa viška prihoda na prihod 63811 u iznosu 5.774,00 eura.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163.327,28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845,7</w:t>
            </w:r>
          </w:p>
        </w:tc>
      </w:tr>
    </w:tbl>
    <w:p>
      <w:pPr>
        <w:spacing w:before="0" w:after="0"/>
      </w:pPr>
    </w:p>
    <w:p>
      <w:pPr>
        <w:jc w:val="both"/>
      </w:pPr>
      <w:r>
        <w:t xml:space="preserve">ŠIFRA 96 i ŠIFRA 9661 obuhvaćaju potraživanja od nadležnog Ministarstva za: rashode za zaposlene, za prehranu učenika za prosinac, za nabavu knjige „Herojski Vukovar“ te za prijevoz učenika s teškoćama za prosinac. Navedena potraživanja evidentiraju se sukladno novom Pravilniku od 01. siječnja 2025. godine te iz tog razloga povećanje od 745,7%. Osim navedenih potraživanja, škola ima potraživanja za najam sportske dvorane i zakup prostora za postavljeni aparat za kavu, potraživanja za produženi boravak učenika, potraživanja od Grada Bakra za pokriće rashoda prehrane i produženog boravka učenika te potraživanja za sponzorstvo sukladno ugovoru o sponzorstvu od tvrtke INA dd. Dio potraživanja koji se odnosi na zakup školskog prostora i sponzorstvo se odnosi na ŠIFRU 9661 koji je veći za 679,9% zbog evidentiranja potraživanja za sponzorstvo koji u 2024. godini nije ostvaren.</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99,4</w:t>
            </w:r>
          </w:p>
        </w:tc>
      </w:tr>
    </w:tbl>
    <w:p>
      <w:pPr>
        <w:spacing w:before="0" w:after="0"/>
      </w:pPr>
    </w:p>
    <w:p>
      <w:pPr>
        <w:jc w:val="both"/>
      </w:pPr>
      <w:r>
        <w:t xml:space="preserve">ŠIFRA 4 Rashodi za nabavu nefinancijske imovine smanjeni su za 0,6%. Dugotrajna imovina u 2025. godini financirana je djelomično iz viška prihoda prethodnih godina, sredstva lokalne samouprave, vlastitih sredstava te sredstva nadležnog Ministarstva. Rashodi za nefinancijsku imovinu ovise o financijskim sredstvima pomoći i donacija kao i o ostvarenim vlastitim prihodima. Vlastita sredstva su tijekom izvještajnog razdoblja povećana u odnosu na prethodno izvještajno razdoblje pa je dio opreme financiran i iz vlastitih sredstava.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w:t>
            </w:r>
          </w:p>
        </w:tc>
      </w:tr>
    </w:tbl>
    <w:p>
      <w:pPr>
        <w:spacing w:before="0" w:after="0"/>
      </w:pPr>
    </w:p>
    <w:p>
      <w:pPr>
        <w:jc w:val="both"/>
      </w:pPr>
      <w:r>
        <w:t xml:space="preserve">ŠIFRA 4221 obuhvaća rashode za uredsku opremu i namještaj koji su veći za 36,4% zbog većeg obima nabave u tekućem izvještajnom razdoblju zahvaljujući sredstvima za Erasmus+ projekte i sponzorstvu INA-e d.d. pa je nabavljen namještaj za dvije manje učionice i u manjoj mjeri potrebna računalna oprema.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ŠIFRA 4222 obuhvaća rashod za nabavu komunikacijske opreme u 2024. godini a odnosi se na nabavu tri televizije koje su donirane PŠ Kukuljanovo dok u tekućem izvještajnom razdoblju nabava nije ostvarena.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w:t>
            </w:r>
          </w:p>
        </w:tc>
      </w:tr>
    </w:tbl>
    <w:p>
      <w:pPr>
        <w:spacing w:before="0" w:after="0"/>
      </w:pPr>
    </w:p>
    <w:p>
      <w:pPr>
        <w:jc w:val="both"/>
      </w:pPr>
      <w:r>
        <w:t xml:space="preserve">ŠIFRA 4223 u prethodnom izvještajnom razdoblju odnosi se na donacije tri klima uređaja za poboljšanje uvjeta u učionicama PŠ Kukuljanovo i jedna klima za PŠ Krasica. U tekućem izvještajnom razdoblju rashod obuhvaća nabavu 2 nova klima uređaja u MŠ Bakar financiran prenesenim sredstvima i jedan klima uređaj u PŠ Krasica financirani sredstvima Grada Bakra.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4227 obuhvaća rashode nabave opreme za nastavu Tehničke kulture u tekućem izvještajnom razdoblju. U prethodnom izvještajnom razdoblju nabava je izostala.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90,1</w:t>
            </w:r>
          </w:p>
        </w:tc>
      </w:tr>
    </w:tbl>
    <w:p>
      <w:pPr>
        <w:spacing w:before="0" w:after="0"/>
      </w:pPr>
    </w:p>
    <w:p>
      <w:pPr>
        <w:jc w:val="both"/>
      </w:pPr>
      <w:r>
        <w:t xml:space="preserve">ŠIFRA 4241 obuhvaća rashode za nabavu novih lektirnih naslova za školsku knjižnicu u iznosu od 570,00 eura, zatim udžbenike koji su financirani iz proračuna nadležnog Ministarstva te knjige za knjižnicu financirane sredstvima donacija. Rashodi su manji za 9,9% zbog izostanka donacija u 2025. godini kojima bi se financirala dodatna nabava knjiga za knjižnicu.</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99,4</w:t>
            </w:r>
          </w:p>
        </w:tc>
      </w:tr>
    </w:tbl>
    <w:p>
      <w:pPr>
        <w:spacing w:before="0" w:after="0"/>
      </w:pPr>
    </w:p>
    <w:p>
      <w:pPr>
        <w:jc w:val="both"/>
      </w:pPr>
      <w:r>
        <w:t xml:space="preserve">ŠIFRA Y002 ukazuje na manjak od nefinancijske imovine u iznosu od 15.425,96 euro i manji je u odnosu na prethodno razdoblje za 0,6% zbog smanjenja rashoda za nabavu nefinancijske imovine. Škola ne ostvaruje prihode od prodaje nefinancijske imovine te uvijek poslujemo s manjkom prihoda od nefinancijske imovine. Početkom 2025. godine sukladno Odluci školskog odbora, manjak od nefinancijske imovine pokriven je viškom prihoda poslovanja. Raspoloživi višak prihoda iz prethodnog razdoblja na šifri X006 različit je u odnosu na preneseni višak prihoda iz prethodnog razdoblja i zbog korekcije financijskog rezultata na višku prihoda od nefinancijske imovine. Sukladno primjeni novog Pravilnika, škola je 01.01.2025. imala evidentiran saldo na konto 982 rezerviranja viška prihoda koji je prenesen na konto 92215 a na kraju godine na konto 92212 koji je evidentiran kao preneseni višak od nefinancijske imovine. Dio prihoda poslovanja koji se odnosi na kapitalne pomoći i kapitalne donacije korekcijom financijskog rezultata prenosi se na pokriće manjka prihoda od nefinancijske imovine što je vidljivo u Bilanci gdje je manjak od nefinancijske imovine manji.</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126.470,95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Y004 ukazuje na ukupni manjak prihoda u iznosu od 126.470,95 eura dok je u prethodnom izvještajnom razdoblju škola poslovala s viškom od 9.041,90 eura. Manjak prihoda za pokriti u slijedećem izvještajnom razdoblju iznosi 114.280,08 eura. Manjak prihoda se odnosi pretežno na metodološki manjak koji je nastao zbog načina evidentiranja prihoda i rashoda sukladno novom Pravilniku. Rashodi za plaće za prosinac 2025. godine evidentirani su u prosincu 2025. godine dok će se prihodi ostvariti u siječnju 2026. godine kao i svi ostali prihodi koji se odnose na rashode evidentirane u prosincu 2025. godine. Manjak rashoda za zaposlene za prosinac iznose 125.330,45 eura, potraživanja za rashode prijevoza učenika s teškoćama za prosinac iznose 39,70 eura, potraživanje za nabavu knjige „Herojski Vukovar“ 90,79 eura i potraživanja za prehranu učenika 5.792,15 eura. Višak i manjak prema izvorima financiranja prikazan je u tablici bilješki uz Bilancu za šifru 922.</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130.731,30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ŠIFRA 19 se odnosi na rashode za zaposlene za prosinac 2024. koji su isplaćeni u siječnju 2025. godine. Zbog primjene novog Pravilnika, navedeni rashodi se od 01.01.2025. više ne evidentiraju na 19 već na pripadajuća konta rashoda.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odljevi s novčanih računa i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406.879,80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461.607,78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bl>
    <w:p>
      <w:pPr>
        <w:spacing w:before="0" w:after="0"/>
      </w:pPr>
    </w:p>
    <w:p>
      <w:r>
        <w:t xml:space="preserve">ŠIFRA 11P u tekućem razdoblju jednaka je ŠIFRA 11K u prethodnom razdoblju i iznosi 25.453,88 eura.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45.270,83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50.642,98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pPr>
        <w:jc w:val="both"/>
      </w:pPr>
      <w:r>
        <w:t xml:space="preserve">Na kraju izvještajnog razdoblja stanje novčanih sredstava na ŠIFRA 11K iznosi 45.270,83 eura što čini povećanje od 11,9%. U tekućem izvještajnom razdoblju ostvaren je malo veći promet priljeva po žiro računu u odnosu na odljev.</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pPr>
        <w:jc w:val="both"/>
      </w:pPr>
      <w:r>
        <w:t xml:space="preserve">ŠIFRA Z007 ukazuje na manji broj zaposlenih u odnosu na prethodno razdoblje za ukupno 3 djelatnika. Unatoč potrebama, ne dolazi do povećanja broja zaposlenih zbog nemogućnosti pronalaska zamjena na tržištu rada.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1.478.606,09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1.607.143,17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pPr>
        <w:jc w:val="both"/>
      </w:pPr>
      <w:r>
        <w:t xml:space="preserve">ŠIFRA 63612 se odnosi na prihode MZOM-a za plaće, prijevoz učenika s teškoćama, prehranu učenika, nabavu radnih udžbenika, obljetnice škola, menstrualne higijenske potrepštine. Veći su za 8,7% zbog većih prihoda za plaće uslijed povećanja osnovice za obračun plaća te prihoda za nabavu psihološko dijagnostičkih sredstva i pomoć za darovite učenike kojih u prethodnim razdobljima nije bilo u istom obimu. U tekućem izvještajnom razdoblju ostvareni su prihodi za nabavu udžbenika za 2024. godinu jer prihod nije ostvaren u 2024. već početkom 2025. godine. Krajem godine ostvaren je i prihod za nabavu udžbenika za 2025. godinu što je također povećalo prihode.</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132.867,46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140.907,07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pPr>
        <w:jc w:val="both"/>
      </w:pPr>
      <w:r>
        <w:t xml:space="preserve">ŠIFRA 63613 se odnosi na prihode od Grada Bakra za plaće djelatnika u produženom boravku i financiranje projekata za unapređenje nastave. U odnosu na prethodno razdoblje veći su za 6,1% zbog povećanja financiranja rashoda za plaće nakon povećanja osnovice za obračun plaća i financiranje investicijskog održavanja zgrade u Bakru.</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1360,6</w:t>
            </w:r>
          </w:p>
        </w:tc>
      </w:tr>
    </w:tbl>
    <w:p>
      <w:pPr>
        <w:spacing w:before="0" w:after="0"/>
      </w:pPr>
    </w:p>
    <w:p>
      <w:pPr>
        <w:jc w:val="both"/>
      </w:pPr>
      <w:r>
        <w:t xml:space="preserve">ŠIFRA 63622 se odnosi na kapitalne prihode MZO-a za nabavu udžbenika i nabavu knjiga za knjižnicu. Prihodi su veći za 1.260,6% zbog izostanka prihoda za nabavu udžbenika u prethodnom izvještajnom razdoblju. Zbog promjene ravnatelja u rujnu 2024. godine škola nije mogla u zadanom roku dobiti potrebna ovlaštenja  za potpis faktura za nabavu udžbenika te iz tog razloga prihod nije ostvaren u prethodnom izvještajnom razdoblju već početkom tekućeg izvještajnog razdoblja. Krajem godine ostvaren je i prihod za nabavu udžbenika za 2025. godinu što je znatno povećalo prihode.</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w:t>
            </w:r>
          </w:p>
        </w:tc>
      </w:tr>
    </w:tbl>
    <w:p>
      <w:pPr>
        <w:spacing w:before="0" w:after="0"/>
      </w:pPr>
    </w:p>
    <w:p>
      <w:pPr>
        <w:jc w:val="both"/>
      </w:pPr>
      <w:r>
        <w:t xml:space="preserve">ŠIFRA 63623 se odnosi na kapitalne pomoći Grada Bakra za opremanje i podizanje pedagoškog standarda. Prihodi su manji za 65% zbog manje ostvarenih kapitalnih pomoći za investicije u 2025. godini. Umjesto kapitalnih, ostvarene su tekuće pomoći od Grada Bakra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32.317,60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26.930,23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w:t>
            </w:r>
          </w:p>
        </w:tc>
      </w:tr>
    </w:tbl>
    <w:p>
      <w:pPr>
        <w:spacing w:before="0" w:after="0"/>
      </w:pPr>
    </w:p>
    <w:p>
      <w:pPr>
        <w:jc w:val="both"/>
      </w:pPr>
      <w:r>
        <w:t xml:space="preserve">ŠIFRA 63811 obuhvaća prihode za Erasmus+ projekt u 2024. i 2025. godini a te manji su za 16,7 % zbog promjene načina evidentiranja prihoda za EU projekte sukladno novom Pravilniku. Prihodi se evidentiraju nakon završetka projekta i predaje završnog izvješća a ne više prema uplati.</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usluge, participacije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87.638,85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89.434,57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w:t>
            </w:r>
          </w:p>
        </w:tc>
      </w:tr>
    </w:tbl>
    <w:p>
      <w:pPr>
        <w:spacing w:before="0" w:after="0"/>
      </w:pPr>
    </w:p>
    <w:p>
      <w:r>
        <w:t xml:space="preserve">ŠIFRA 65264 se odnosi na prihode od produženog boravka i sufinanciranje prijevoza učenika na izvan učioničku nastavu. Prihod je veći za samo 2% u odnosu na prethodno razdoblje.</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s naslova osiguranja, refundacije štete i totalne štete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w:t>
            </w:r>
          </w:p>
        </w:tc>
      </w:tr>
    </w:tbl>
    <w:p>
      <w:pPr>
        <w:spacing w:before="0" w:after="0"/>
      </w:pPr>
    </w:p>
    <w:p>
      <w:pPr>
        <w:jc w:val="both"/>
      </w:pPr>
      <w:r>
        <w:t xml:space="preserve">ŠIFRA 65267 se odnosi na prihode s naslova osiguranja i refundacije šteta nastalim na školskim zgradama. U izvještajnom razdoblju prihodi su manji za 44,1%. Navedeni prihodi iznimno su nepredvidljivi i direktno ovisni o nastanku šteta, kvarova ili oštećenja kojih je izvještajnom razdoblju bilo manje no u prethodnom izvještajnom razdoblju.</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ŠIFRA 31214 se odnosi na tri otpremnine za odlazak u mirovinu koje su ostvarene samo u prethodnom izvještajnom razdoblju. U tekućem izvještajnom razdoblju škola nije imala djelatnike koji su imali pravo na isplatu otpremnine za odlazak u mirovinu.</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306,6</w:t>
            </w:r>
          </w:p>
        </w:tc>
      </w:tr>
    </w:tbl>
    <w:p>
      <w:pPr>
        <w:spacing w:before="0" w:after="0"/>
      </w:pPr>
    </w:p>
    <w:p>
      <w:pPr>
        <w:jc w:val="both"/>
      </w:pPr>
      <w:r>
        <w:t xml:space="preserve">ŠIFRA 31215 ukazuje na povećanje od 206,6% rashoda za naknade za bolest, invalidnost i smrtni slučaj u odnosu na prethodnu godinu uslijed povećanja slučajeva koji zahtijevaju navedenu isplatu. Rashod je nepredvidiv i njegovo ostvarenje ovisi o velikom broju čimbenika koji nisu ostvareni u istom obimu kao i tijekom 2024. godine.</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na posao i s posla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34.100,88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39.135,46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bl>
    <w:p>
      <w:pPr>
        <w:spacing w:before="0" w:after="0"/>
      </w:pPr>
    </w:p>
    <w:p>
      <w:pPr>
        <w:jc w:val="both"/>
      </w:pPr>
      <w:r>
        <w:t xml:space="preserve">ŠIFRA 32121 se odnosi na rashode za prijevoz na posao i s posla a veći je za 14,8% zbog povećanja djelatnika koji ostvaruju pravo na naknadu za prijevoz kao i zbog promjena prava na korištenje naknade za prijevoz po kilometru zbog redukcija linija lokalnog javnog prijevoza</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1595,4</w:t>
            </w:r>
          </w:p>
        </w:tc>
      </w:tr>
    </w:tbl>
    <w:p>
      <w:pPr>
        <w:spacing w:before="0" w:after="0"/>
      </w:pPr>
    </w:p>
    <w:p>
      <w:pPr>
        <w:jc w:val="both"/>
      </w:pPr>
      <w:r>
        <w:t xml:space="preserve">ŠIFRA 32361 obuhvaća rashode za sistematske i sanitarne preglede djelatnika koji su povećani za 1.495,4% no u prethodnom razdoblju. Rashodi za sistematske preglede sukladno TKU za javne službe nisu ostvareni u 2024. godini zbog nemogućnosti pronalaska zdravstvene ustanove u kojoj će se pregledi obavljati. Prethodnih godina sistematski pregledi ugovarani su u prosincu dok su promjenom medicinske ustanove rashodi ostvareni tijekom 2025. godine.</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w:t>
            </w:r>
          </w:p>
        </w:tc>
      </w:tr>
    </w:tbl>
    <w:p>
      <w:pPr>
        <w:spacing w:before="0" w:after="0"/>
      </w:pPr>
    </w:p>
    <w:p>
      <w:pPr>
        <w:jc w:val="both"/>
      </w:pPr>
      <w:r>
        <w:t xml:space="preserve">ŠIFRA 32372 obuhvaća rashod ugovora o djelu koji je manji za 16% a obuhvaća rashod ugovora o djelu za provođenje postupka javne nabave za dostave ručka u produženi boravak te ugovor o djelu za trenera plivanja. Škola nema zaposlenog djelatnika koji posjeduje potrebne certifikate za provođenje navedenog postupka pa je škola navedenu uslugu morala zasebno platiti putem ugovora o djelu. Projekt škole plivanja za učenike drugih razreda započeo je 2023. godine i obuhvaća rashod ugovora o djelu trenera za provođenje škole plivanja. Rashod trenera u 2025. godini je manji u odnosu na 2024. godinu te je iz tog razloga i ukupni rashod manji.</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w:t>
            </w:r>
          </w:p>
        </w:tc>
      </w:tr>
    </w:tbl>
    <w:p>
      <w:pPr>
        <w:spacing w:before="0" w:after="0"/>
      </w:pPr>
    </w:p>
    <w:p>
      <w:pPr>
        <w:jc w:val="both"/>
      </w:pPr>
      <w:r>
        <w:t xml:space="preserve">ŠIFRA 37221 se odnosi na rashode za prijevoz učenika s teškoćama sukladno Odluci MZOM-ih i rješenjima koja učenici posjeduju. Rashodi su veći za 66,1% jer ovise o broju učenika koji posjeduju rješenje kojih je u 2025. godini bilo više kao i o broju odlazaka na potrebne tretmane.</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iz proračuna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w:t>
            </w:r>
          </w:p>
        </w:tc>
      </w:tr>
    </w:tbl>
    <w:p>
      <w:pPr>
        <w:spacing w:before="0" w:after="0"/>
      </w:pPr>
    </w:p>
    <w:p>
      <w:pPr>
        <w:jc w:val="both"/>
      </w:pPr>
      <w:r>
        <w:t xml:space="preserve">ŠIFRA 37229 se odnosi na rashode za udžbenike namijenjene jednogodišnjem korištenju. Rashodi su u odnosu na prethodno razdoblje manji za 7,5% zbog smanjenja broja učenika a time i manjom potrebom za nabavom novih radnih udžbenika za sve učenike od 1-8 razreda.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688.227,20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674.470,83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w:t>
            </w:r>
          </w:p>
        </w:tc>
      </w:tr>
    </w:tbl>
    <w:p>
      <w:pPr>
        <w:spacing w:before="0" w:after="0"/>
      </w:pPr>
    </w:p>
    <w:p>
      <w:pPr>
        <w:jc w:val="both"/>
      </w:pPr>
      <w:r>
        <w:t xml:space="preserve">ŠIFRA B001 Vrijednost imovine manja je za 2% u odnosu na početak razdoblja zbog smanjenog ulaganja u nabavu dugotrajne imovine u odnosu na ispravak vrijednosti imovine za 2025. godinu</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jc w:val="both"/>
      </w:pPr>
      <w:r>
        <w:t xml:space="preserve">ŠIFRA 01 se odnosi na nabavljene licence za računalne programe. Tijekom 2025. nije bilo ulaganja u licence a zbog ispravka vrijednosti sadašnja vrijednost licenci je 0,00 eura.</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1.549.796,03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1.549.796,03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ŠIFRA 0212 nema promjene jer nije bilo ulaganja u zgrade u 2025. godini. ŠIFRA 02921 povećao se za 1,7% u odnosu na početak razdoblja zbog ispravka vrijednosti zgrada.</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73.781,16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58.842,06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w:t>
            </w:r>
          </w:p>
        </w:tc>
      </w:tr>
    </w:tbl>
    <w:p>
      <w:pPr>
        <w:spacing w:before="0" w:after="0"/>
      </w:pPr>
    </w:p>
    <w:p>
      <w:r>
        <w:t xml:space="preserve">ŠIFRA 022 i 02922 za izvještajno razdoblje bilježe smanjenje od 20,2% uslijed smanjene nabave nove opreme a povećanje ispravka vrijednosti opreme.</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224.301,19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231.624,15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w:t>
            </w:r>
          </w:p>
        </w:tc>
      </w:tr>
    </w:tbl>
    <w:p>
      <w:pPr>
        <w:spacing w:before="0" w:after="0"/>
      </w:pPr>
    </w:p>
    <w:p>
      <w:r>
        <w:t xml:space="preserve">ŠIFRA 0221 bilježi rast od 3,3% zbog nabave novog namještaja i računalne opreme. Dio nabave namještaja prenesen je u vlasništvo škole a financiran je sredstvima Županije.</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29.122,89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33.320,49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pPr>
        <w:jc w:val="both"/>
      </w:pPr>
      <w:r>
        <w:t xml:space="preserve">ŠIFRA 0223 bilježi rast od 14,4% zbog nabave jednog klima uređaja za učionicu PŠ Krasica i dva nova klima uređaja za matičnu školu Bakar.</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256.493,23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282.668,97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bl>
    <w:p>
      <w:pPr>
        <w:spacing w:before="0" w:after="0"/>
      </w:pPr>
    </w:p>
    <w:p>
      <w:r>
        <w:t xml:space="preserve">ŠIFRA 02922 na kraju izvještajnog razdoblja veća je za 10,2% zbog godišnjeg ispravka vrijednosti na dan 31.12.2025.</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w:t>
            </w:r>
          </w:p>
        </w:tc>
      </w:tr>
    </w:tbl>
    <w:p>
      <w:pPr>
        <w:spacing w:before="0" w:after="0"/>
      </w:pPr>
    </w:p>
    <w:p>
      <w:pPr>
        <w:jc w:val="both"/>
      </w:pPr>
      <w:r>
        <w:t xml:space="preserve">ŠIFRA 024 manja je za 4,1% u odnosu na početno razdoblje zbog velikog ispravka vrijednosti na ŠIFRI 02924. ŠIFRA 0241 veća je za 5,9% u odnosu na početno razdoblje zbog nabave novih knjiga u školskoj knjižnici kao i nabave novih udžbenika. Ispravak vrijednosti za udžbenike vrši se u 100% iznosu i iskazan je na ŠIFRA 02924 koja je veća za 6,8%.</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w:t>
            </w:r>
          </w:p>
        </w:tc>
      </w:tr>
    </w:tbl>
    <w:p>
      <w:pPr>
        <w:spacing w:before="0" w:after="0"/>
      </w:pPr>
    </w:p>
    <w:p>
      <w:pPr>
        <w:jc w:val="both"/>
      </w:pPr>
      <w:r>
        <w:t xml:space="preserve">ŠIFRA 026 na kraju izvještajnog razdoblja manja je za 52,2% zbog ispravka vrijednosti u izvještajnom razdoblju na ŠIFRA 02926. Tijekom godine nije bilo ulaganja u računalne programe pa je ispravak vrijednosti na ŠIFRI 02926 veći za 3,5% u odnosu na početno stanje.</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36.555,08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34.922,30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pPr>
        <w:jc w:val="both"/>
      </w:pPr>
      <w:r>
        <w:t xml:space="preserve">ŠIFRA 042 i 049 manje su za 4,5% zbog manje nabave sitnog inventara u upotrebi i ispravka vrijednosti istog. Vrijednost novonabavljenog sitnog inventara iznosi 233,41 eura. Sukladno Izvještaju o obavljenom popisu imovine vrijednost sitnog inventara u iznosu od 1.866,19 eura rashodovan je u potpunosti zbog loma i nemogućnosti korištenja istog. Sve navedeno dovelo je do smanjenja od 4,5%.</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45.270,83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50.642,98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pPr>
        <w:jc w:val="both"/>
      </w:pPr>
      <w:r>
        <w:t xml:space="preserve">ŠIFRA 1112 veća je u odnosu na početak razdoblja za 11,9% zbog većeg priljeva sredstava na račun škole u odnosu na odljev. Prijelazni račun je na nuli kao i novac u blagajni. Tijekom izvještajnog razdoblja sva zaprimljena novčana sredstva iz gotovinske blagajne položena su na žiro račun te u blagajni nema raspoloživih sredstava.</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208,1</w:t>
            </w:r>
          </w:p>
        </w:tc>
      </w:tr>
    </w:tbl>
    <w:p>
      <w:pPr>
        <w:spacing w:before="0" w:after="0"/>
      </w:pPr>
    </w:p>
    <w:p>
      <w:pPr>
        <w:jc w:val="both"/>
      </w:pPr>
      <w:r>
        <w:t xml:space="preserve">ŠIFRA 129 obuhvaća bolovanja duža od 42 dana koja se isplaćuju na teret HZZO-a i veća su u odnosu na početak razdoblja za 108,1%. Tijekom 2025. godine zatvoren je velik dio potraživanja sukladno obavijesti Ministarstva financija ali tijekom 2025. godine potraživanje se dodatno povećalo više no što su iznosila zatvaranja potraživanja.</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143.149,75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1279,8</w:t>
            </w:r>
          </w:p>
        </w:tc>
      </w:tr>
    </w:tbl>
    <w:p>
      <w:pPr>
        <w:spacing w:before="0" w:after="0"/>
      </w:pPr>
    </w:p>
    <w:p>
      <w:pPr>
        <w:jc w:val="both"/>
      </w:pPr>
      <w:r>
        <w:t xml:space="preserve">ŠIFRA 1636 obuhvaća potraživanja od nadležnog Ministarstva za rashode za zaposlene za prosinac koja iznose 125.330,45 eura, potraživanje za rashode prijevoza učenika s teškoćama za prosinac koje iznosi 39,70 eura, potraživanje za nabavu knjige „Herojski Vukovar“ koje iznosi 90,79 eura i potraživanja za prehranu učenika u iznosu od 5.792,15 eura. Osim navedenog, evidentirana su i potraživanja od Grada Bakra za financiranje rashoda produženog boravka. Potraživanja su veća za 1.179,8% zbog novog načina evidentiranja potraživanja od nadležnog Ministarstva sve sukladno novom Pravilniku.</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1638 obuhvaća potraživanja za prihode Erasmus+ projekta koji se od 01.01.2025. sukladno novom Pravilniku evidentiraju na 16/96. Navedeno nije evidentirano na početnom stanju već prilikom sklapanja ugovora o financiranju projekta.</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w:t>
            </w:r>
          </w:p>
        </w:tc>
      </w:tr>
    </w:tbl>
    <w:p>
      <w:pPr>
        <w:spacing w:before="0" w:after="0"/>
      </w:pPr>
    </w:p>
    <w:p>
      <w:pPr>
        <w:jc w:val="both"/>
      </w:pPr>
      <w:r>
        <w:t xml:space="preserve">ŠIFRA 165 obuhvaća potraživanja od Grada Bakra i roditelja za prehranu učenika koji su veći za 1,8% u odnosu na početak izvještajnog razdoblja. Tijekom izvještajnog razdoblja uspješno se povećala naplata dospjelih potraživanja a veći dio potraživanja još nisu dospjela.</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779,9</w:t>
            </w:r>
          </w:p>
        </w:tc>
      </w:tr>
    </w:tbl>
    <w:p>
      <w:pPr>
        <w:spacing w:before="0" w:after="0"/>
      </w:pPr>
    </w:p>
    <w:p>
      <w:pPr>
        <w:jc w:val="both"/>
      </w:pPr>
      <w:r>
        <w:t xml:space="preserve">ŠIFRA 166 se odnosi na potraživanja od pravnih osoba za najam sportske dvorane i zakup prostora te jednokratna potraživanja za sponzorstvo tvrtke INA d.d. čija novčana sredstva sukladno ugovoru o sponzorstvu dospijevaju u roku od 30 dana. U odnosu na početak razdoblja veći su za 679,9% jer je potraživanje od INA-e evidentirano na kraju izvještajnog razdoblja. Tijekom izvještajnog razdoblja škola ima jedan ugovor za zakup prostora za aparat za kavu i dva ugovora za najam sportske dvorane uz prekid za vrijeme ljetnih praznika.</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w:t>
            </w:r>
          </w:p>
        </w:tc>
      </w:tr>
    </w:tbl>
    <w:p>
      <w:pPr>
        <w:spacing w:before="0" w:after="0"/>
      </w:pPr>
    </w:p>
    <w:p>
      <w:pPr>
        <w:jc w:val="both"/>
      </w:pPr>
      <w:r>
        <w:t xml:space="preserve">ŠIFRA 169 se odnosi na ispravak vrijednosti potraživanja starija od dvije godine. Izvršen je ispravak u iznosu od 50% na preostala dospjela potraživanja starija od 2 godine. U odnosu na početak razdoblja vrijednost je manja za 55,1% zbog uspješne naplate potraživanja tijekom izvještajnog razdoblja a sva dospjela potraživanja starija od dvije godine pretežno su već ispravljena u cijelosti. S obzirom da se radi o relativno malim iznosima, vrijednost provođenja ovrhe nad potraživanjima značajno bi povećala trošak školi uz upitnu uspješnost naplate. Dospjela potraživanja se odnose na potraživanja za prehranu učenika starija od dvije godine. Kako je prehrana za učenike od siječnja 2023. godine besplatna, škola nema adekvatne alate za uvjetovanje naplate potraživanja koja su pojedinačno manjih iznosa što prisilnu naplatu čini neisplativom zbog većih troškova provedbe postupka naplate u odnosu na samu vrijednost potraživanja. Dio ispravljenih potraživanja isknjižen je iz evidencije zbog dugotrajnosti i nemogućnosti naplate unatoč poslanim opomenama.</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130.731,30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ŠIFRA 193 se odnosi na plaće i materijalna prava za prosinac 2024. godine koji su isplaćeni u siječnju 2025. godine. Sukladno novom Pravilniku, rashodi za prosinac ne evidentiraju se na kontu 193 nakon 01.01.2025. već na pripadajuća konta rashoda na klasi 3.</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159.959,75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168.924,07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pPr>
        <w:jc w:val="both"/>
      </w:pPr>
      <w:r>
        <w:t xml:space="preserve">ŠIFRA 2 se odnosi na ukupne obveze koje su manje za 2% u odnosu na početak razdoblja. Obveze za rashode za zaposlene pod ŠIFROM 231 veći su za 8,2% zbog povećanja koeficijenata za obračun plaće u javnom sektoru. Obveze za materijalne rashode na ŠIFRA 232 su manje za 18,3% a obveze za financijske rashode na ŠIFRI 234 manje su za 9,4%. Sve dospjele obveze na dan 31.12.2025. podmirene su do 31.12.2025. godine kao i dospjele obveze iz prethodnog razdoblja.</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w:t>
            </w:r>
          </w:p>
        </w:tc>
      </w:tr>
    </w:tbl>
    <w:p>
      <w:pPr>
        <w:spacing w:before="0" w:after="0"/>
      </w:pPr>
    </w:p>
    <w:p>
      <w:pPr>
        <w:jc w:val="both"/>
      </w:pPr>
      <w:r>
        <w:t xml:space="preserve">ŠIFRA 237 se odnosi na obveze za nabavu radnih udžbenika koje su smanjene za 99% zbog podmirenja obveze za nabavu udžbenika iz 2024. godine početkom 2025. godine zbog primitka prihoda u veljači 2025. godine. U 2025. godini obveze za nabavu udžbenika su podmirene do kraja izvještajnog razdoblja nakon primitka prihoda od nadležnog Ministarstva.</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w:t>
            </w:r>
          </w:p>
        </w:tc>
      </w:tr>
    </w:tbl>
    <w:p>
      <w:pPr>
        <w:spacing w:before="0" w:after="0"/>
      </w:pPr>
    </w:p>
    <w:p>
      <w:pPr>
        <w:jc w:val="both"/>
      </w:pPr>
      <w:r>
        <w:t xml:space="preserve">ŠIFRA 24 obuhvaća obveze za nabavu nefinancijske imovine i to knjiga za knjižnicu u iznosu od 570 eura koji nisu dospjeli a na početku razdoblja obveze za nabavu višegodišnjih udžbenika za učenike za 2024. godinu kao što je objašnjeno za šifru 237.</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1352,3</w:t>
            </w:r>
          </w:p>
        </w:tc>
      </w:tr>
    </w:tbl>
    <w:p>
      <w:pPr>
        <w:spacing w:before="0" w:after="0"/>
      </w:pPr>
    </w:p>
    <w:p>
      <w:pPr>
        <w:jc w:val="both"/>
      </w:pPr>
      <w:r>
        <w:t xml:space="preserve">ŠIFRA 27 obuhvaća obveze za naplaćene tuđe prihode koje su vraćene tijekom siječnja, obveze za EU predujmove koji se nisu evidentirali na navedenom kontu prije siječnja 2025. i obveze za povrat u proračun koje se odnose na bolovanja na teret HZZO-a koje se umanjuju prema obavijesti Ministarstva financija. S obzirom da se obveze nisu do sada evidentirale na navedenim kontima izuzev obveze za povrat u proračun za naknade za bolovanja na teret HZZO, evidentan je razlog tolikog povećanja obveza u izvještajnom razdoblju.</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490.989,45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456.499,56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w:t>
            </w:r>
          </w:p>
        </w:tc>
      </w:tr>
    </w:tbl>
    <w:p>
      <w:pPr>
        <w:spacing w:before="0" w:after="0"/>
      </w:pPr>
    </w:p>
    <w:p>
      <w:r>
        <w:t xml:space="preserve">ŠIFRA 911 vlastiti izvori manji su za 7% na kraju izvještajnog razdoblja zbog nabave nefinancijske imovine u manjoj vrijednosti od ispravka vrijednosti za 2025. godinu.</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-114.280,08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-636,1</w:t>
            </w:r>
          </w:p>
        </w:tc>
      </w:tr>
    </w:tbl>
    <w:p>
      <w:pPr>
        <w:spacing w:before="0" w:after="0"/>
      </w:pPr>
    </w:p>
    <w:p>
      <w:pPr>
        <w:jc w:val="both"/>
      </w:pPr>
      <w:r>
        <w:t xml:space="preserve">ŠIFRA 922 Ukazuje da je škola u izvještajnom razdoblju ostvarila manjak prihoda u iznosu od 114.280,08 eura dok je u prethodnom izvještajnom razdoblju ostvaren višak prihoda. Manjak prihoda u 2025. godini obuhvaća metodološki manjak prihoda od nadležnog Ministarstva za pokriće rashoda za zaposlene za prosinac a nastao je zbog načina evidentiranja prihoda i rashoda sukladno novom Pravilniku. Rashodi za plaće za prosinac 2025. godine evidentirani su u prosincu 2025. godine dok će se prihodi ostvariti u siječnju 2026. godine kao i svi ostali prihodi koji se na rashode evidentirane u prosincu 2025. godine. Potraživanja od nadležnog Ministarstva za rashode za zaposlene za prosinac iznose 125.330,45 eura, potraživanja za rashode prijevoza učenika s teškoćama za prosinac iznose 39,70 eura, potraživanje za nabavu knjige „Herojski Vukovar“ 90,79 eura i potraživanja za prehranu učenika 5.792,15 eura. Nakon što se manjak umanji za metodološki manjak, utvrđuje se da je škola u osnovi poslovala s viškom prihoda. Preneseni višak prihoda poslovanja pod ŠIFROM 92211 u tekućem izvještajnom razdoblju iznosi 11.243,50 eura i nije jednak raspoloživom višku prihoda za slijedeće razdoblje u prethodnom izvještajnom razdoblju zbog korekcije financijskog rezultata uslijed promjene načina evidentiranja prihoda za EU projekte. Dio viška prihoda koji se odnosi na EU projekte sukladno novom Pravilniku o računovodstvu prenesen je sa viška prihoda iz 2024. godine na prihod 63811 u iznosu 5.774,00 eura. Raspoloživi višak prihoda iz prethodnog razdoblja na šifri X006 različit je u odnosu na preneseni višak prihoda iz prethodnog razdoblja i zbog korekcije financijskog rezultata na višku prihoda od nefinancijske imovine. Sukladno primjeni novog Pravilnika, škola je 01.01.2025. imala evidentiran saldo na konto 982 rezerviranja viška prihoda koji je prenesen na konto 92215 a na kraju godine na konto 92212 koji je evidentiran kao preneseni višak od nefinancijske imovine. Početkom 2025. godine sukladno Odluci školskog odbora, manjak od nefinancijske imovine pokriven je prenesenim viškom prihoda poslovanja.</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163.327,28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845,7</w:t>
            </w:r>
          </w:p>
        </w:tc>
      </w:tr>
    </w:tbl>
    <w:p>
      <w:pPr>
        <w:spacing w:before="0" w:after="0"/>
      </w:pPr>
    </w:p>
    <w:p>
      <w:pPr>
        <w:jc w:val="both"/>
      </w:pPr>
      <w:r>
        <w:t xml:space="preserve">ŠIFRA 96 obuhvaća veliki dio potraživanja za pomoći koja se do siječnja 2025. godine nisu evidentirala a to su: potraživanja od nadležnog Ministarstva na 9636, potraživanja temeljem prijenosa EU sredstava na šifri 9638. Osim navedenog, škola ima evidentirana potraživanja za najam sportske dvorane, produženi boravak i potraživanje za sponzorstvo. Potraživanja su veća za 745,7% u odnosu na početno razdoblje upravo zbog evidentiranja potraživanja od nadležnog Ministarstva za rashode za zaposlene za prosinac 2025. kao i za prehranu učenika i prijevoz učenika s teškoćama za prosinac 2025. godine. Potraživanje za sponzorstvo od INA-e dd pod šifrom 966 bit će sukladno ugovoru podmireno u siječnju 2026. godine.</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21.928,77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ŠIFRE 991 i 996 na početku razdoblja iznose 0,00 eura jer je sva tuđa imovina koja je u vlasništvu MZOM-a i Carnet-a prenesena u vlasništvo škole u prethodnom izvještajnom razdoblju. Na kraju izvještajnog razdoblja na 991 i 996 knjiženi su ugovori za EU projekt Erasmus+ koji se sukladno novom Pravilniku osim na potraživanja knjiži i na navedena konta</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21.928,77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ŠIFRE 991 i 996 na početku razdoblja iznose 0,00 eura jer je sva tuđa imovina koja je u vlasništvu MZOM-a i Carnet-a prenesena u vlasništvo škole u prethodnom izvještajnom razdoblju. Na kraju izvještajnog razdoblja na 991 i 996 knjiženi su ugovori za EU projekt Erasmus+ koji se sukladno novom Pravilniku osim na potraživanja knjiži i na navedena konta.</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w:t>
            </w:r>
          </w:p>
        </w:tc>
      </w:tr>
    </w:tbl>
    <w:p>
      <w:pPr>
        <w:spacing w:before="0" w:after="0"/>
      </w:pPr>
    </w:p>
    <w:p>
      <w:pPr>
        <w:jc w:val="both"/>
      </w:pPr>
      <w:r>
        <w:t xml:space="preserve">ŠIFRA dio 16D i  16N se odnosi na obračunata a nenaplaćena potraživanja za najam školske dvorane te sufinanciranje rashoda za produženi boravak i prehranu učenika iz ranijih godina. Dospjela potraživanja manja su za 36,2% a nedospjela potraživanja veća za 832,7%. Povećanje potraživanja objašnjeno je u prethodnim točkama za šifre 16. Navedena nedospjela potraživanja se odnose na potraživanja za produženi boravak za prosinac 2025. dok se dospjela potraživanja odnose na potraživanja za prehranu i produženi boravak iz starijih razdoblja.</w:t>
      </w:r>
    </w:p>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17.372,70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162.031,12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932,7</w:t>
            </w:r>
          </w:p>
        </w:tc>
      </w:tr>
    </w:tbl>
    <w:p>
      <w:pPr>
        <w:spacing w:before="0" w:after="0"/>
      </w:pPr>
    </w:p>
    <w:p>
      <w:pPr>
        <w:jc w:val="both"/>
      </w:pPr>
      <w:r>
        <w:t xml:space="preserve">ŠIFRA dio 16D i  16N se odnosi na obračunata a nenaplaćena potraživanja za najam školske dvorane te sufinanciranje rashoda za produženi boravak i prehranu učenika iz ranijih godina. Dospjela potraživanja manja su za 36,2% a nedospjela potraživanja veća za 832,7%. Povećanje potraživanja objašnjeno je u prethodnim točkama za šifre 16. Navedena nedospjela potraživanja se odnose na potraživanja za produženi boravak za prosinac 2025. dok se dospjela potraživanja odnose na potraživanja za prehranu i produženi boravak iz starijih razdoblja.</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w:t>
            </w:r>
          </w:p>
        </w:tc>
      </w:tr>
    </w:tbl>
    <w:p>
      <w:pPr>
        <w:spacing w:before="0" w:after="0"/>
      </w:pPr>
    </w:p>
    <w:p>
      <w:pPr>
        <w:jc w:val="both"/>
      </w:pPr>
      <w:r>
        <w:t xml:space="preserve">ŠIFRA 12911 obuhvaća naknade za bolovanja duža od 42 dana. Iznos je veći za 33,2% zbog manjeg iznosa refundacije u 2025. godini u odnosu na obračunate naknade za bolovanje na teret HZZO-a. tijekom 2025. godine. Kompenzacije se vrše sukladno obavijesti Ministarstva financija tijekom izvještajnog razdoblja.</w:t>
      </w:r>
    </w:p>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predujmove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12912 obuhvaća potraživanja za predujmove organizacije tečajeva za Erasmus+ projekt koji će se održati u 2026. godini.</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Dospjele obveze iz prethodnog razdoblja odnose se na obveze za nabavu udžbenika za učenike za 2024. godinu a podmirene su početkom razdoblja nakon primitka prihoda nadležnog Ministarstva.</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145.200,26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152.992,09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w:t>
            </w:r>
          </w:p>
        </w:tc>
      </w:tr>
    </w:tbl>
    <w:p>
      <w:pPr>
        <w:spacing w:before="0" w:after="0"/>
      </w:pPr>
    </w:p>
    <w:p>
      <w:pPr>
        <w:jc w:val="both"/>
      </w:pPr>
      <w:r>
        <w:t xml:space="preserve">ŠIFRA 23N obuhvaća obveze za rashode poslovanja koja nisu još dospjela (računi za prosinac i plaća za prosinac) a ŠIFRA 24N se odnosi na obveze za nabavu nefinancijske imovine (knjige u knjižnici) koje također nisu dospjele na kraju izvještajnog razdoblja.</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Dospjele obveze iz prethodnog razdoblja odnose se na obveze za nabavu udžbenika za učenike za 2024. godinu a podmirene su početkom razdoblja nakon primitka prihoda nadležnog Ministarstva.</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naplaćene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ŠIFRA 27311 obuhvaća obvezu za naplaćene tuđe prihode koje su evidentirane početkom razdoblja a odnosi se na pogrešno uplaćena sredstva koja su vraćena sukladno zahtjevu uplatitelja kao i preplaćeni iznosi po računima za produženi boravak.</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27521 obuhvaća obveze za EU predujmove koji se nisu evidentirali na navedenom kontu prije siječnja 2025. Obveze se odnose na trenutni Erasmus+ ugovor za projekt koji je započeo u rujnu 2025. godine i završava u kolovozu 2026. godine.</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133,5</w:t>
            </w:r>
          </w:p>
        </w:tc>
      </w:tr>
    </w:tbl>
    <w:p>
      <w:pPr>
        <w:spacing w:before="0" w:after="0"/>
      </w:pPr>
    </w:p>
    <w:p>
      <w:pPr>
        <w:jc w:val="both"/>
      </w:pPr>
      <w:r>
        <w:t xml:space="preserve">ŠIFRA 27612 obuhvaća obveze za povrat u proračun – naknade za bolovanje na teret HZZO-a koje su povećane tijekom razdoblja jer su obračunata bolovanja za 2025. godinu veća u odnosu na evidentirane kompenzacije u izvještajnom razdoblju zbog kasnijeg dospijeća navedene naknade.</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od nefinancijske imovine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92215 se odnosi na konto 98 iz prethodnih razdoblja koja obuhvaća rezerviranja viška prihoda iz prethodnih godina iz razdoblja prije 2006. godine a odnose se na prihode dobivene od otkupa školskog stana. Navedeni se konto sukladno novom Pravilniku briše te je tijekom 2025. godine izvršen prijenos salda navedenog konta na 92215. </w:t>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21.928,77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99671 se odnosi na predujmove za EU projekt Erasmus+ u kojem škola sudjeluje već nekoliko godina.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1.856.167,81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2.170.962,48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pPr>
        <w:jc w:val="both"/>
      </w:pPr>
      <w:r>
        <w:t xml:space="preserve">ŠIFRA 09 Ukupni kontrolni zbroj za rashode u osnovnoškolskom obrazovanju ukazuje na porast od 17% i u skladu je s rashodima iskazanim u obrascu PR-RAS za izvještajno razdoblje na ŠIFRA 3 uvećanom za ŠIFRU 4 odnosno ukupnoj ŠIFRI Y034.</w:t>
      </w:r>
    </w:p>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1.852.292,31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2.065.064,84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r>
        <w:t xml:space="preserve">ŠIFRA 0912 bilježi rast u odnosu na prethodno izvještajno razdoblje za 11,5% zbog ukupnog povećanja rashoda kao što je objašnjeno za obrazac PR-RAS.</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obrazovanja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105.897,64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2732,5</w:t>
            </w:r>
          </w:p>
        </w:tc>
      </w:tr>
    </w:tbl>
    <w:p>
      <w:pPr>
        <w:spacing w:before="0" w:after="0"/>
      </w:pPr>
    </w:p>
    <w:p>
      <w:pPr>
        <w:jc w:val="both"/>
      </w:pPr>
      <w:r>
        <w:t xml:space="preserve">ŠIFRA 098 bilježi znatan rast zbog pogrešno iskazanih rashoda za ostale usluge u prethodnom izvještajnom razdoblju. U programu se pogrešno bilježe funkcijske klasifikacije rashoda jer u navedenu klasifikaciju 098 program ne uključuje rashode za prehranu učenika na kontu 32224 i rashode za usluge dostave ručka učenicima u produženom boravku na kontu 32399. Za tekuće izvještajno razdoblje ispravno su uneseni rashodi u izvještaj.</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55.170,85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55.170,85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U izvještajnom razdoblju škola je evidentirala promjene u vrijednosti i obujmu imovine u iznosu od 55.170,85 eura.</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52.543,35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52.543,35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jc w:val="both"/>
      </w:pPr>
      <w:r>
        <w:t xml:space="preserve">ŠIFRA P003 obuhvaća promjene u vrijednosti proizvedene dugotrajne imovine u iznosu od 52.543,35 eura a odnosi se na ispravak vrijednosti dugotrajne imovine za 2025. godinu sukladno novom Pravilniku o računovodstvu.</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jc w:val="both"/>
      </w:pPr>
      <w:r>
        <w:t xml:space="preserve">ŠIFRA P018 obuhvaća promjene u obujmu proizvedene dugotrajne imovine u iznosu od 2.627,50 eura a odnose se na prijenos vlasništva imovine i nabavu novog školskog namještaja koja je financirana direktno iz sredstava i na teret isključivo Primorsko-goranske Županije. Navedena nabava nije knjižena kao trošak škole već sukladno Pravilniku na pripadajući konto 0221, izvori financiranja 9111, te 915.</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159.959,75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Na početku izvještajnog razdoblja podmirili smo sve obveze iz prethodnog razdoblja i škola na kraju izvještajnog razdoblja nema dospjelih obveza. ŠIFRA V001 iznosi 159.959,75 eura i identičan je stanju obveza na kraju izvještajnog razdoblja u financijskom izvještaju za 2024. godinu.</w:t>
      </w:r>
    </w:p>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2.083.411,21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V002 ukazuje na 2.083.411,21 eura povećanja obveza u izvještajnom razdoblju od čega najviše iznose rashodi za zaposlene pod ŠIFROM N231 u iznosu od 1.673.566,66 eura.</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V003, ŠIFRA V005 i ŠIFRA V010 obuhvaćaju međusobne obveze proračunskih korisnika a odnose se na naknade za bolovanja duža od 42 dana koja se isplaćuju na teret HZZO-a  za koje je obveza povrata u državni proračun. Tijekom 2025. godine sukladno obavijesti Ministarstva financija izvršeno je više refundacija naknada za bolovanja na teret HZZO-a pa je obveza na kraju razdoblja znatno manja u odnosu na početak razdoblja. Završno stanje obveza na dan 31.12.2025. godine iznosi 1.037,89 eura</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ŠIFRE N237 i P237 odnose se na naknade prijevoza za učenike s teškoćama u razvoju i rashode za nabavu radnih udžbenika koji se financiraju iz državnog proračuna. Obveze za naknadu za prijevoz učenika s teškoćama u razvoju za 2025. godinu su podmirene do kraja 2025. godine sukladno primicima iz proračuna a prijevoz za studeni i prosinac bit će podmireni nakon primitka sredstava na račun škole</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2.074.446,89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V004 ukazuje na 2.074.446,89 eura podmirenih obveza u izvještajnom razdoblju. Škola podmiruje sve svoje obveze u roku dospijeća ukoliko su osigurana sredstva za podmirenje istih.</w:t>
      </w:r>
    </w:p>
    <w:p/>
    <w:p>
      <w:pPr>
        <w:jc w:val="center"/>
        <w:pStyle w:val="Normal"/>
        <w:spacing w:line="240" w:lineRule="auto"/>
        <w:keepNext/>
      </w:pPr>
      <w:r>
        <w:rPr>
          <w:sz w:val="28"/>
          <w:rFonts w:ascii="Times New Roman" w:hAnsi="Times New Roman"/>
        </w:rPr>
        <w:t xml:space="preserve">Bilješka 115.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V003, ŠIFRA V005 i ŠIFRA V010 obuhvaćaju međusobne obveze proračunskih korisnika a odnose se na naknade za bolovanja duža od 42 dana koja se isplaćuju na teret HZZO-a  za koje je obveza povrata u državni proračun. Tijekom 2025. godine sukladno obavijesti Ministarstva financija izvršeno je više refundacija naknada za bolovanja na teret HZZO-a pa je obveza na kraju razdoblja znatno manja u odnosu na početak razdoblja. Završno stanje obveza na dan 31.12.2025. godine iznosi 1.037,89 eura</w:t>
      </w:r>
    </w:p>
    <w:p/>
    <w:p>
      <w:pPr>
        <w:jc w:val="center"/>
        <w:pStyle w:val="Normal"/>
        <w:spacing w:line="240" w:lineRule="auto"/>
        <w:keepNext/>
      </w:pPr>
      <w:r>
        <w:rPr>
          <w:sz w:val="28"/>
          <w:rFonts w:ascii="Times New Roman" w:hAnsi="Times New Roman"/>
        </w:rPr>
        <w:t xml:space="preserve">Bilješka 116.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24.385,24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ŠIFRE N237 i P237 odnose se na naknade prijevoza za učenike s teškoćama u razvoju i rashode za nabavu radnih udžbenika koji se financiraju iz državnog proračuna. Obveze za naknadu za prijevoz učenika s teškoćama u razvoju za 2025. godinu su podmirene do kraja 2025. godine sukladno primicima iz proračuna a prijevoz za studeni i prosinac bit će podmireni nakon primitka sredstava na račun škole.</w:t>
      </w:r>
    </w:p>
    <w:p/>
    <w:p>
      <w:pPr>
        <w:jc w:val="center"/>
        <w:pStyle w:val="Normal"/>
        <w:spacing w:line="240" w:lineRule="auto"/>
        <w:keepNext/>
      </w:pPr>
      <w:r>
        <w:rPr>
          <w:sz w:val="28"/>
          <w:rFonts w:ascii="Times New Roman" w:hAnsi="Times New Roman"/>
        </w:rPr>
        <w:t xml:space="preserve">Bilješka 117.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168.924,07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V006 u iznosu od 165.924,07 eura ukazuje na povećanje obveza na kraju razdoblja u odnosu na početno razdoblje od 01. siječnja 2025. godine no radi se o nedospjelim obvezama za rashode za zaposlene i materijalne rashode dok su sve dospjele obveza podmirene u zakonskom roku sukladno dospijeću.</w:t>
      </w:r>
    </w:p>
    <w:p/>
    <w:p>
      <w:pPr>
        <w:jc w:val="center"/>
        <w:pStyle w:val="Normal"/>
        <w:spacing w:line="240" w:lineRule="auto"/>
        <w:keepNext/>
      </w:pPr>
      <w:r>
        <w:rPr>
          <w:sz w:val="28"/>
          <w:rFonts w:ascii="Times New Roman" w:hAnsi="Times New Roman"/>
        </w:rPr>
        <w:t xml:space="preserve">Bilješka 118.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Na početku izvještajnog razdoblja podmirili smo sve obveze iz prethodnog razdoblja i škola na kraju izvještajnog razdoblja nema dospjelih obveza. ŠIFRA ND23 nedospjele su obveze za plaće i materijalne rashode za prosinac 2024. godine koje će se podmiriti početkom siječnja 2025. godine. ŠIFRA ND24 nedospjele su obveze za nabavu nefinancijske imovine koje će se podmiriti početkom siječnja 2026. godine.</w:t>
      </w:r>
    </w:p>
    <w:p/>
    <w:p>
      <w:pPr>
        <w:jc w:val="center"/>
        <w:pStyle w:val="Normal"/>
        <w:spacing w:line="240" w:lineRule="auto"/>
        <w:keepNext/>
      </w:pPr>
      <w:r>
        <w:rPr>
          <w:sz w:val="28"/>
          <w:rFonts w:ascii="Times New Roman" w:hAnsi="Times New Roman"/>
        </w:rPr>
        <w:t xml:space="preserve">Bilješka 119.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 (šifre M001 do M004)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V003, ŠIFRA V005 i ŠIFRA V010 obuhvaćaju međusobne obveze proračunskih korisnika a odnose se na naknade za bolovanja duža od 42 dana koja se isplaćuju na teret HZZO-a  za koje je obveza povrata u državni proračun. Tijekom 2025. godine sukladno obavijesti Ministarstva financija izvršeno je više refundacija naknada za bolovanja na teret HZZO-a pa je obveza na kraju razdoblja znatno manja u odnosu na početak razdoblja. Završno stanje obveza na dan 31.12.2025. godine iznosi 1.037,89 eura</w:t>
      </w:r>
    </w:p>
    <w:p/>
    <w:p>
      <w:pPr>
        <w:jc w:val="center"/>
        <w:pStyle w:val="Normal"/>
        <w:spacing w:line="240" w:lineRule="auto"/>
        <w:keepNext/>
      </w:pPr>
      <w:r>
        <w:rPr>
          <w:sz w:val="28"/>
          <w:rFonts w:ascii="Times New Roman" w:hAnsi="Times New Roman"/>
        </w:rPr>
        <w:t xml:space="preserve">Bilješka 120.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ŠIFRA V003, ŠIFRA V005 i ŠIFRA V010 obuhvaćaju međusobne obveze proračunskih korisnika a odnose se na naknade za bolovanja duža od 42 dana koja se isplaćuju na teret HZZO-a  za koje je obveza povrata u državni proračun. Tijekom 2025. godine sukladno obavijesti Ministarstva financija izvršeno je više refundacija naknada za bolovanja na teret HZZO-a pa je obveza na kraju razdoblja znatno manja u odnosu na početak razdoblja. Završno stanje obveza na dan 31.12.2025. godine iznosi 1.037,89 eura</w:t>
      </w:r>
    </w:p>
    <w:p/>
    <w:p>
      <w:pPr>
        <w:jc w:val="center"/>
        <w:pStyle w:val="Normal"/>
        <w:spacing w:line="240" w:lineRule="auto"/>
        <w:keepNext/>
      </w:pPr>
      <w:r>
        <w:rPr>
          <w:sz w:val="28"/>
          <w:rFonts w:ascii="Times New Roman" w:hAnsi="Times New Roman"/>
        </w:rPr>
        <w:t xml:space="preserve">Bilješka 121.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152.992,09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ND23 nedospjele su obveze za plaće i materijalne rashode za prosinac 2024. godine koje će se podmiriti početkom siječnja 2025. godine.</w:t>
      </w:r>
    </w:p>
    <w:p/>
    <w:p>
      <w:pPr>
        <w:jc w:val="center"/>
        <w:pStyle w:val="Normal"/>
        <w:spacing w:line="240" w:lineRule="auto"/>
        <w:keepNext/>
      </w:pPr>
      <w:r>
        <w:rPr>
          <w:sz w:val="28"/>
          <w:rFonts w:ascii="Times New Roman" w:hAnsi="Times New Roman"/>
        </w:rPr>
        <w:t xml:space="preserve">Bilješka 122.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ND24 nedospjele su obveze za nabavu nefinancijske imovine koje će se podmiriti početkom siječnja 2026. godine.</w:t>
      </w:r>
    </w:p>
    <w:p/>
    <w:p>
      <w:pPr>
        <w:jc w:val="center"/>
        <w:pStyle w:val="Normal"/>
        <w:spacing w:line="240" w:lineRule="auto"/>
        <w:keepNext/>
      </w:pPr>
      <w:r>
        <w:rPr>
          <w:sz w:val="28"/>
          <w:rFonts w:ascii="Times New Roman" w:hAnsi="Times New Roman"/>
        </w:rPr>
        <w:t xml:space="preserve">Bilješka 123.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obuhvaća nedospjele obveze za primljene EU predujmove za Erasmus+ projekt akreditacije za razdoblje od 01.09.2025. do 31.08.2026.</w:t>
      </w:r>
    </w:p>
    <w:p/>
    <w:p>
      <w:pPr>
        <w:jc w:val="center"/>
        <w:pStyle w:val="Normal"/>
        <w:spacing w:line="240" w:lineRule="auto"/>
        <w:keepNext/>
      </w:pPr>
      <w:r>
        <w:rPr>
          <w:sz w:val="28"/>
          <w:rFonts w:ascii="Times New Roman" w:hAnsi="Times New Roman"/>
        </w:rPr>
        <w:t xml:space="preserve">Bilješka 124.</w:t>
      </w:r>
    </w:p>
    <w:p>
      <w:pPr>
        <w:jc w:val="both"/>
        <w:pStyle w:val="Normal"/>
        <w:spacing w:line="240" w:lineRule="auto"/>
      </w:pPr>
      <w:r>
        <w:rPr>
          <w:b/>
          <w:sz w:val="24"/>
          <w:rFonts w:ascii="Times New Roman" w:hAnsi="Times New Roman"/>
        </w:rPr>
        <w:t xml:space="preserve">EU izvještaj</w:t>
      </w:r>
    </w:p>
    <w:p>
      <w:pPr>
        <w:jc w:val="both"/>
      </w:pPr>
      <w:r>
        <w:t xml:space="preserve">Sukladno Okružnici Ministarstva financija u izvještaju za razdoblje od 01.01.2025. do 31.12.2025. stupac „Ostvareno u izvještajnom razdoblju prethodne godine“ ne popunjava se za ostvarene prihode i primitke, kao ni za rashode i izdatke. </w:t>
      </w:r>
    </w:p>
    <w:p>
      <w:r>
        <w:t xml:space="preserve">Škola sudjeluje u slijedećim projektima: Erasmus+ projekti koje financira AMPEU u Republici Hrvatskoj, Erasmus+ projekt kojeg financira koordinator projekta Sveučilište u Španjolskoj te projekt Pomoćnika u nastavi koji se financira iz nacionalnih sredstava Primorsko-goranske Županije i Europskog socijalnog fonda plus - 561 za rad pomoćnika u nastavi za učenike koji ostvaruju navedeno pravo.</w:t>
      </w:r>
    </w:p>
    <w:p>
      <w:r>
        <w:t xml:space="preserve">Projekt pomoćnika u nastavi se financira iz dva izvora a financiraju se rashodi za zaposlene te materijalni rashodi za službena putovanja i naknade za prijevoz. Nacionalno financiranje PGŽ-e i iz Europskog socijalnog fonda. Ostvareni ukupni prihodi nacionalnog financiranja iznose 8.267,20 eura a ukupni rashodi 10.056,94 eura. Ostvareni manjak obuhvaća metodološki manjak plaće za rad pomoćnika u nastavi za prosinac 2025. godine čiji se rashodi knjiže u prosincu 2025. godine a prihodi po isplati plaće u siječnju 2026. godine. Ukupni prihodi socijalnog fonda iznose 7.850,86 eura a rashodi 8.217,74 eura. Također je ostvaren metodološki manjak prihoda iz gore navedenog razloga.</w:t>
      </w:r>
    </w:p>
    <w:p>
      <w:r>
        <w:t xml:space="preserve">Ostvareni ukupni prihodi za izvještajno razdoblje u programima unije na izvoru 510 iznose 42.403,43 eura. Od toga prihodi na kontu 63111 iznose 15.473,20 eura a obuhvaćaju sredstva za Erasmus+ projekt u kojem je škola partner a koordinator je Sveučilište u Španjolskoj. Prihodi na kontu 63811 iznose 26.930,23 eura a obuhvaćaju Erasmus+ projekte u kojima škola sudjeluje a isplatitelj je AMPEU u Republici Hrvatskoj.</w:t>
      </w:r>
    </w:p>
    <w:p>
      <w:r>
        <w:t xml:space="preserve">Ostvareni ukupni rashodi  poslovanja iznose 38.034,86 eura i obuhvaćaju rashode za sve aktivnosti vezane uz Erasmus+ projekte. Rashodi koji su evidentirani odnose se na konta 3213 u iznosu od 31.959,09 i najveći su evidentirani rashodi za grupne i individualne mobilnosti. Rashodi za intelektualne usluge na konto 3237 obuhvaćaju naknadu za rad učitelja prema ugovorenim aktivnostima u sklopu Erasmus+ projekta „Steam and Sport“ u kojem je koordinator Sveučilište u Španjolskoj. Manji dio rashoda obuhvaća konto 3299 u kojem se evidentiraju ostali rashodi ugovoreni projektom a nisu izravan trošak mobilnosti.</w:t>
      </w:r>
    </w:p>
    <w:p>
      <w:r>
        <w:t xml:space="preserve">Rashodi za nabavu dugotrajne imovine na kontu 4221 financirani su iz prenesenih sredstava Erasmus+ projekata iz prethodnih godina nakon završetka projekta i obračuna ostvarenih prihoda i rashoda. Nabavljen je školski namještaj, klupe i stolice za učionicu PŠ Škrljevo.</w:t>
      </w:r>
    </w:p>
    <w:p>
      <w:r>
        <w:t xml:space="preserve">Obračunati prihodi poslovanja na kontu 96381 uključuje ostvareni promet tijekom 2025. godine. Jedan projekt akreditacije za razdoblje 2024./2025. godine završen je krajem 2025. godine a sredinom godine započeo je drugi ugovor za akreditaciju za razdoblje 2025./2026. godine.</w:t>
      </w:r>
    </w:p>
    <w:p>
      <w:r>
        <w:t xml:space="preserve">Potraživanja za tekuće pomoći na kontu 16381 odnosi se na potraživanja za preostalih 20% sukladno Ugovoru koji završava 31.08.2026. godine. </w:t>
      </w:r>
    </w:p>
    <w:p>
      <w:pPr>
        <w:jc w:val="both"/>
      </w:pPr>
      <w:r>
        <w:t xml:space="preserve">Obveze za EU predujmove na kontu 27521 obuhvaćaju obveze prema Ugovoru za Erasmus+ akreditaciju za razdoblje od 01.09.2025. do 31.08.2026.</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421575d987a44cb8"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6D2CF404C4F24D97321AB6C2657900" ma:contentTypeVersion="18" ma:contentTypeDescription="Stvaranje novog dokumenta." ma:contentTypeScope="" ma:versionID="17964cee712b8178f379a2def43af1cd">
  <xsd:schema xmlns:xsd="http://www.w3.org/2001/XMLSchema" xmlns:xs="http://www.w3.org/2001/XMLSchema" xmlns:p="http://schemas.microsoft.com/office/2006/metadata/properties" xmlns:ns2="3498d0d5-97d2-42ca-9090-95be33117fb9" xmlns:ns3="c3d1f244-6952-471a-a14b-b439d1271939" targetNamespace="http://schemas.microsoft.com/office/2006/metadata/properties" ma:root="true" ma:fieldsID="500ebce222c5d892a3799f71f180c6e5" ns2:_="" ns3:_="">
    <xsd:import namespace="3498d0d5-97d2-42ca-9090-95be33117fb9"/>
    <xsd:import namespace="c3d1f244-6952-471a-a14b-b439d1271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8d0d5-97d2-42ca-9090-95be33117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1f244-6952-471a-a14b-b439d1271939"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1e034d1c-a485-4d71-999b-279a86d44341}" ma:internalName="TaxCatchAll" ma:showField="CatchAllData" ma:web="c3d1f244-6952-471a-a14b-b439d1271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d1f244-6952-471a-a14b-b439d1271939" xsi:nil="true"/>
    <lcf76f155ced4ddcb4097134ff3c332f xmlns="3498d0d5-97d2-42ca-9090-95be33117f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CF5A4B-E954-4C63-82B0-EBD55B4C6315}"/>
</file>

<file path=customXml/itemProps2.xml><?xml version="1.0" encoding="utf-8"?>
<ds:datastoreItem xmlns:ds="http://schemas.openxmlformats.org/officeDocument/2006/customXml" ds:itemID="{C5028C55-BCCC-47C3-B1CA-F23F985E1D48}"/>
</file>

<file path=customXml/itemProps3.xml><?xml version="1.0" encoding="utf-8"?>
<ds:datastoreItem xmlns:ds="http://schemas.openxmlformats.org/officeDocument/2006/customXml" ds:itemID="{8762DBE3-CDF0-432F-9768-431425C3C75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0x010100A66D2CF404C4F24D97321AB6C2657900</vt:lpwstr>
  </property>
</Properties>
</file>